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AA" w:rsidRDefault="002F3AEA">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兴银理财</w:t>
      </w:r>
      <w:permStart w:id="653197328" w:edGrp="everyone"/>
      <w:r>
        <w:rPr>
          <w:rFonts w:ascii="黑体" w:eastAsia="黑体" w:hAnsi="黑体" w:hint="eastAsia"/>
          <w:b/>
          <w:bCs/>
          <w:sz w:val="28"/>
          <w:szCs w:val="28"/>
        </w:rPr>
        <w:t>【</w:t>
      </w:r>
      <w:r w:rsidR="002B09E6">
        <w:rPr>
          <w:rStyle w:val="ab"/>
          <w:rFonts w:ascii="黑体" w:eastAsia="黑体" w:hAnsi="黑体" w:hint="eastAsia"/>
          <w:sz w:val="28"/>
          <w:szCs w:val="28"/>
        </w:rPr>
        <w:t>稳利丰收封闭式固收类</w:t>
      </w:r>
      <w:r>
        <w:rPr>
          <w:rFonts w:ascii="黑体" w:eastAsia="黑体" w:hAnsi="黑体" w:hint="eastAsia"/>
          <w:b/>
          <w:bCs/>
          <w:sz w:val="28"/>
          <w:szCs w:val="28"/>
        </w:rPr>
        <w:t>】</w:t>
      </w:r>
      <w:permEnd w:id="653197328"/>
      <w:r>
        <w:rPr>
          <w:rFonts w:ascii="黑体" w:eastAsia="黑体" w:hAnsi="黑体"/>
          <w:b/>
          <w:bCs/>
          <w:sz w:val="28"/>
          <w:szCs w:val="28"/>
        </w:rPr>
        <w:t>理财产品</w:t>
      </w:r>
    </w:p>
    <w:p w:rsidR="00BE7FAA" w:rsidRDefault="002F3AEA">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BE7FAA" w:rsidRDefault="002F3AEA">
      <w:pPr>
        <w:autoSpaceDE w:val="0"/>
        <w:autoSpaceDN w:val="0"/>
        <w:adjustRightInd w:val="0"/>
        <w:snapToGrid w:val="0"/>
        <w:spacing w:beforeLines="50" w:before="156" w:line="320" w:lineRule="exact"/>
        <w:jc w:val="center"/>
        <w:rPr>
          <w:rFonts w:ascii="宋体" w:hAnsi="宋体"/>
          <w:b/>
          <w:sz w:val="24"/>
        </w:rPr>
      </w:pPr>
      <w:r>
        <w:rPr>
          <w:rFonts w:ascii="宋体" w:hAnsi="宋体" w:hint="eastAsia"/>
          <w:b/>
          <w:sz w:val="24"/>
        </w:rPr>
        <w:t>理财非存款、产品有风险、投资须谨慎</w:t>
      </w:r>
    </w:p>
    <w:p w:rsidR="00BE7FAA" w:rsidRDefault="002F3AEA">
      <w:pPr>
        <w:rPr>
          <w:rFonts w:ascii="宋体" w:hAnsi="宋体" w:cs="仿宋_GB2312"/>
          <w:b/>
          <w:kern w:val="0"/>
          <w:sz w:val="18"/>
          <w:szCs w:val="18"/>
        </w:rPr>
      </w:pPr>
      <w:r>
        <w:rPr>
          <w:rFonts w:ascii="宋体" w:hAnsi="宋体" w:cs="仿宋_GB2312" w:hint="eastAsia"/>
          <w:b/>
          <w:kern w:val="0"/>
          <w:sz w:val="18"/>
          <w:szCs w:val="18"/>
        </w:rPr>
        <w:t>尊敬的投资者：</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BE7FAA" w:rsidRDefault="002F3AEA">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BE7FAA" w:rsidRDefault="002F3AEA">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w:t>
      </w:r>
      <w:r>
        <w:rPr>
          <w:rFonts w:ascii="宋体" w:hAnsi="宋体" w:cs="仿宋_GB2312"/>
          <w:kern w:val="0"/>
          <w:sz w:val="18"/>
          <w:szCs w:val="18"/>
        </w:rPr>
        <w:t>信息</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（一）产品名称、销售</w:t>
      </w:r>
      <w:r>
        <w:rPr>
          <w:rFonts w:ascii="宋体" w:hAnsi="宋体" w:cs="仿宋_GB2312"/>
          <w:kern w:val="0"/>
          <w:sz w:val="18"/>
          <w:szCs w:val="18"/>
        </w:rPr>
        <w:t>名称</w:t>
      </w:r>
      <w:r>
        <w:rPr>
          <w:rFonts w:ascii="宋体" w:hAnsi="宋体" w:cs="仿宋_GB2312" w:hint="eastAsia"/>
          <w:kern w:val="0"/>
          <w:sz w:val="18"/>
          <w:szCs w:val="18"/>
        </w:rPr>
        <w:t>及产品</w:t>
      </w:r>
      <w:r>
        <w:rPr>
          <w:rFonts w:ascii="宋体" w:hAnsi="宋体" w:cs="仿宋_GB2312"/>
          <w:kern w:val="0"/>
          <w:sz w:val="18"/>
          <w:szCs w:val="18"/>
        </w:rPr>
        <w:t>登记编码</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permStart w:id="858736719" w:edGrp="everyone"/>
      <w:r>
        <w:rPr>
          <w:rFonts w:ascii="宋体" w:hAnsi="宋体" w:cs="仿宋_GB2312" w:hint="eastAsia"/>
          <w:kern w:val="0"/>
          <w:sz w:val="18"/>
          <w:szCs w:val="18"/>
        </w:rPr>
        <w:t>【</w:t>
      </w:r>
      <w:r w:rsidR="005B431F" w:rsidRPr="005B431F">
        <w:rPr>
          <w:rFonts w:ascii="宋体" w:hAnsi="宋体" w:cs="仿宋_GB2312" w:hint="eastAsia"/>
          <w:kern w:val="0"/>
          <w:sz w:val="18"/>
          <w:szCs w:val="18"/>
        </w:rPr>
        <w:t>兴银理财稳利丰收封闭式</w:t>
      </w:r>
      <w:r w:rsidR="00485841">
        <w:rPr>
          <w:rFonts w:ascii="宋体" w:hAnsi="宋体" w:cs="仿宋_GB2312"/>
          <w:kern w:val="0"/>
          <w:sz w:val="18"/>
          <w:szCs w:val="18"/>
        </w:rPr>
        <w:t>301</w:t>
      </w:r>
      <w:r w:rsidR="00FD0236">
        <w:rPr>
          <w:rFonts w:ascii="宋体" w:hAnsi="宋体" w:cs="仿宋_GB2312"/>
          <w:kern w:val="0"/>
          <w:sz w:val="18"/>
          <w:szCs w:val="18"/>
        </w:rPr>
        <w:t>8</w:t>
      </w:r>
      <w:r w:rsidR="005B431F" w:rsidRPr="005B431F">
        <w:rPr>
          <w:rFonts w:ascii="宋体" w:hAnsi="宋体" w:cs="仿宋_GB2312" w:hint="eastAsia"/>
          <w:kern w:val="0"/>
          <w:sz w:val="18"/>
          <w:szCs w:val="18"/>
        </w:rPr>
        <w:t>号固收类理财产品</w:t>
      </w:r>
      <w:r>
        <w:rPr>
          <w:rFonts w:asciiTheme="majorEastAsia" w:eastAsiaTheme="majorEastAsia" w:hAnsiTheme="majorEastAsia" w:hint="eastAsia"/>
          <w:bCs/>
          <w:kern w:val="0"/>
          <w:sz w:val="18"/>
          <w:szCs w:val="18"/>
        </w:rPr>
        <w:t>】</w:t>
      </w:r>
      <w:permEnd w:id="858736719"/>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permStart w:id="2050051456" w:edGrp="everyone"/>
      <w:r>
        <w:rPr>
          <w:rFonts w:ascii="宋体" w:hAnsi="宋体" w:cs="仿宋_GB2312" w:hint="eastAsia"/>
          <w:kern w:val="0"/>
          <w:sz w:val="18"/>
          <w:szCs w:val="18"/>
        </w:rPr>
        <w:t>【</w:t>
      </w:r>
      <w:r w:rsidR="005B431F" w:rsidRPr="005B431F">
        <w:rPr>
          <w:rFonts w:ascii="宋体" w:hAnsi="宋体" w:cs="仿宋_GB2312" w:hint="eastAsia"/>
          <w:kern w:val="0"/>
          <w:sz w:val="18"/>
          <w:szCs w:val="18"/>
        </w:rPr>
        <w:t>稳利丰收封闭式</w:t>
      </w:r>
      <w:r w:rsidR="00485841">
        <w:rPr>
          <w:rFonts w:ascii="宋体" w:hAnsi="宋体" w:cs="仿宋_GB2312"/>
          <w:kern w:val="0"/>
          <w:sz w:val="18"/>
          <w:szCs w:val="18"/>
        </w:rPr>
        <w:t>301</w:t>
      </w:r>
      <w:r w:rsidR="00FD0236">
        <w:rPr>
          <w:rFonts w:ascii="宋体" w:hAnsi="宋体" w:cs="仿宋_GB2312"/>
          <w:kern w:val="0"/>
          <w:sz w:val="18"/>
          <w:szCs w:val="18"/>
        </w:rPr>
        <w:t>8</w:t>
      </w:r>
      <w:r w:rsidR="005B431F" w:rsidRPr="005B431F">
        <w:rPr>
          <w:rFonts w:ascii="宋体" w:hAnsi="宋体" w:cs="仿宋_GB2312" w:hint="eastAsia"/>
          <w:kern w:val="0"/>
          <w:sz w:val="18"/>
          <w:szCs w:val="18"/>
        </w:rPr>
        <w:t>号A</w:t>
      </w:r>
      <w:r>
        <w:rPr>
          <w:rFonts w:ascii="宋体" w:hAnsi="宋体" w:cs="仿宋_GB2312" w:hint="eastAsia"/>
          <w:kern w:val="0"/>
          <w:sz w:val="18"/>
          <w:szCs w:val="18"/>
        </w:rPr>
        <w:t>】（适用【A】类份额</w:t>
      </w:r>
      <w:r w:rsidR="005B431F">
        <w:rPr>
          <w:rFonts w:ascii="宋体" w:hAnsi="宋体" w:cs="仿宋_GB2312" w:hint="eastAsia"/>
          <w:kern w:val="0"/>
          <w:sz w:val="18"/>
          <w:szCs w:val="18"/>
        </w:rPr>
        <w:t>）</w:t>
      </w:r>
      <w:permEnd w:id="2050051456"/>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产品登记编码</w:t>
      </w:r>
      <w:r>
        <w:rPr>
          <w:rFonts w:ascii="宋体" w:hAnsi="宋体" w:cs="仿宋_GB2312"/>
          <w:kern w:val="0"/>
          <w:sz w:val="18"/>
          <w:szCs w:val="18"/>
        </w:rPr>
        <w:t>：</w:t>
      </w:r>
      <w:permStart w:id="1636568854" w:edGrp="everyone"/>
      <w:r>
        <w:rPr>
          <w:rFonts w:ascii="宋体" w:hAnsi="宋体" w:cs="仿宋_GB2312"/>
          <w:kern w:val="0"/>
          <w:sz w:val="18"/>
          <w:szCs w:val="18"/>
        </w:rPr>
        <w:t>【</w:t>
      </w:r>
      <w:r w:rsidR="00FD0236" w:rsidRPr="00FD0236">
        <w:rPr>
          <w:rFonts w:ascii="宋体" w:hAnsi="宋体"/>
          <w:bCs/>
          <w:sz w:val="18"/>
          <w:szCs w:val="18"/>
        </w:rPr>
        <w:t>Z7002023001002</w:t>
      </w:r>
      <w:r>
        <w:rPr>
          <w:rFonts w:ascii="宋体" w:hAnsi="宋体" w:cs="仿宋_GB2312"/>
          <w:kern w:val="0"/>
          <w:sz w:val="18"/>
          <w:szCs w:val="18"/>
        </w:rPr>
        <w:t>】</w:t>
      </w:r>
      <w:permEnd w:id="1636568854"/>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rsidR="00BE7FAA" w:rsidRDefault="002F3AEA">
      <w:pPr>
        <w:ind w:firstLineChars="249" w:firstLine="448"/>
        <w:rPr>
          <w:rFonts w:ascii="宋体" w:hAnsi="宋体" w:cs="仿宋_GB2312"/>
          <w:kern w:val="0"/>
          <w:sz w:val="18"/>
          <w:szCs w:val="18"/>
        </w:rPr>
      </w:pPr>
      <w:permStart w:id="739736718" w:edGrp="everyone"/>
      <w:r>
        <w:rPr>
          <w:rFonts w:ascii="宋体" w:hAnsi="宋体" w:cs="仿宋_GB2312" w:hint="eastAsia"/>
          <w:kern w:val="0"/>
          <w:sz w:val="18"/>
          <w:szCs w:val="18"/>
        </w:rPr>
        <w:t>【公募、封闭式、固定收益</w:t>
      </w:r>
      <w:bookmarkStart w:id="0" w:name="_GoBack"/>
      <w:bookmarkEnd w:id="0"/>
      <w:r>
        <w:rPr>
          <w:rFonts w:ascii="宋体" w:hAnsi="宋体" w:cs="仿宋_GB2312"/>
          <w:kern w:val="0"/>
          <w:sz w:val="18"/>
          <w:szCs w:val="18"/>
        </w:rPr>
        <w:t>类</w:t>
      </w:r>
      <w:r>
        <w:rPr>
          <w:rFonts w:ascii="宋体" w:hAnsi="宋体" w:cs="仿宋_GB2312" w:hint="eastAsia"/>
          <w:kern w:val="0"/>
          <w:sz w:val="18"/>
          <w:szCs w:val="18"/>
        </w:rPr>
        <w:t>、非保本浮动</w:t>
      </w:r>
      <w:r>
        <w:rPr>
          <w:rFonts w:ascii="宋体" w:hAnsi="宋体" w:cs="仿宋_GB2312"/>
          <w:kern w:val="0"/>
          <w:sz w:val="18"/>
          <w:szCs w:val="18"/>
        </w:rPr>
        <w:t>收益</w:t>
      </w:r>
      <w:r>
        <w:rPr>
          <w:rFonts w:ascii="宋体" w:hAnsi="宋体" w:cs="仿宋_GB2312" w:hint="eastAsia"/>
          <w:kern w:val="0"/>
          <w:sz w:val="18"/>
          <w:szCs w:val="18"/>
        </w:rPr>
        <w:t>、净值型】</w:t>
      </w:r>
      <w:permEnd w:id="739736718"/>
      <w:r>
        <w:rPr>
          <w:rFonts w:ascii="宋体" w:hAnsi="宋体" w:cs="仿宋_GB2312" w:hint="eastAsia"/>
          <w:kern w:val="0"/>
          <w:sz w:val="18"/>
          <w:szCs w:val="18"/>
        </w:rPr>
        <w:t>理财产品。</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BE7FAA" w:rsidRDefault="002F3AEA">
      <w:pPr>
        <w:ind w:firstLineChars="249" w:firstLine="448"/>
        <w:rPr>
          <w:rFonts w:asciiTheme="majorEastAsia" w:eastAsiaTheme="majorEastAsia" w:hAnsiTheme="majorEastAsia"/>
          <w:bCs/>
          <w:sz w:val="18"/>
          <w:szCs w:val="18"/>
        </w:rPr>
      </w:pPr>
      <w:permStart w:id="173225220" w:edGrp="everyone"/>
      <w:r>
        <w:rPr>
          <w:rFonts w:asciiTheme="majorEastAsia" w:eastAsiaTheme="majorEastAsia" w:hAnsiTheme="majorEastAsia" w:hint="eastAsia"/>
          <w:bCs/>
          <w:sz w:val="18"/>
          <w:szCs w:val="18"/>
        </w:rPr>
        <w:t>■有固定期限：【</w:t>
      </w:r>
      <w:r w:rsidR="00857569">
        <w:rPr>
          <w:rFonts w:asciiTheme="majorEastAsia" w:eastAsiaTheme="majorEastAsia" w:hAnsiTheme="majorEastAsia"/>
          <w:bCs/>
          <w:sz w:val="18"/>
          <w:szCs w:val="18"/>
        </w:rPr>
        <w:t>3</w:t>
      </w:r>
      <w:r w:rsidR="007937D4">
        <w:rPr>
          <w:rFonts w:asciiTheme="majorEastAsia" w:eastAsiaTheme="majorEastAsia" w:hAnsiTheme="majorEastAsia"/>
          <w:bCs/>
          <w:sz w:val="18"/>
          <w:szCs w:val="18"/>
        </w:rPr>
        <w:t>个月</w:t>
      </w:r>
      <w:r>
        <w:rPr>
          <w:rFonts w:asciiTheme="majorEastAsia" w:eastAsiaTheme="majorEastAsia" w:hAnsiTheme="majorEastAsia" w:hint="eastAsia"/>
          <w:bCs/>
          <w:sz w:val="18"/>
          <w:szCs w:val="18"/>
        </w:rPr>
        <w:t>】</w:t>
      </w:r>
    </w:p>
    <w:p w:rsidR="00BE7FAA" w:rsidRDefault="002F3AEA">
      <w:pPr>
        <w:ind w:firstLineChars="249" w:firstLine="448"/>
        <w:rPr>
          <w:rFonts w:ascii="宋体" w:hAnsi="宋体" w:cs="仿宋_GB2312"/>
          <w:kern w:val="0"/>
          <w:sz w:val="18"/>
          <w:szCs w:val="18"/>
        </w:rPr>
      </w:pPr>
      <w:r>
        <w:rPr>
          <w:rFonts w:asciiTheme="majorEastAsia" w:eastAsiaTheme="majorEastAsia" w:hAnsiTheme="majorEastAsia" w:hint="eastAsia"/>
          <w:bCs/>
          <w:sz w:val="18"/>
          <w:szCs w:val="18"/>
        </w:rPr>
        <w:t>□无固定期限</w:t>
      </w:r>
      <w:permEnd w:id="173225220"/>
      <w:r>
        <w:rPr>
          <w:rFonts w:ascii="宋体" w:hAnsi="宋体" w:cs="仿宋_GB2312"/>
          <w:kern w:val="0"/>
          <w:sz w:val="18"/>
          <w:szCs w:val="18"/>
        </w:rPr>
        <w:t>。</w:t>
      </w:r>
    </w:p>
    <w:p w:rsidR="00BE7FAA" w:rsidRDefault="002F3AEA">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rsidR="00BE7FAA" w:rsidRDefault="002F3AEA">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BE7FAA" w:rsidRDefault="002F3AEA">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permStart w:id="514407705" w:edGrp="everyone"/>
      <w:r>
        <w:rPr>
          <w:rFonts w:ascii="宋体" w:hAnsi="宋体" w:cs="仿宋_GB2312" w:hint="eastAsia"/>
          <w:kern w:val="0"/>
          <w:sz w:val="18"/>
          <w:szCs w:val="18"/>
        </w:rPr>
        <w:t>【R2</w:t>
      </w:r>
      <w:r>
        <w:rPr>
          <w:rFonts w:ascii="宋体" w:hAnsi="宋体" w:cs="仿宋_GB2312"/>
          <w:kern w:val="0"/>
          <w:sz w:val="18"/>
          <w:szCs w:val="18"/>
        </w:rPr>
        <w:t>】</w:t>
      </w:r>
      <w:permEnd w:id="514407705"/>
      <w:r>
        <w:rPr>
          <w:rFonts w:ascii="宋体" w:hAnsi="宋体" w:cs="仿宋_GB2312" w:hint="eastAsia"/>
          <w:kern w:val="0"/>
          <w:sz w:val="18"/>
          <w:szCs w:val="18"/>
        </w:rPr>
        <w:t>（产品管理人定义的产品风险评级为</w:t>
      </w:r>
      <w:permStart w:id="512586523" w:edGrp="everyone"/>
      <w:r>
        <w:rPr>
          <w:rFonts w:ascii="宋体" w:hAnsi="宋体" w:cs="仿宋_GB2312" w:hint="eastAsia"/>
          <w:kern w:val="0"/>
          <w:sz w:val="18"/>
          <w:szCs w:val="18"/>
        </w:rPr>
        <w:t>【R2】</w:t>
      </w:r>
      <w:permEnd w:id="512586523"/>
      <w:r>
        <w:rPr>
          <w:rFonts w:ascii="宋体" w:hAnsi="宋体" w:cs="仿宋_GB2312" w:hint="eastAsia"/>
          <w:kern w:val="0"/>
          <w:sz w:val="18"/>
          <w:szCs w:val="18"/>
        </w:rPr>
        <w:t>；代理销售机构定义的产品风险评级为</w:t>
      </w:r>
      <w:permStart w:id="1641099039" w:edGrp="everyone"/>
      <w:r>
        <w:rPr>
          <w:rFonts w:ascii="宋体" w:hAnsi="宋体" w:cs="仿宋_GB2312" w:hint="eastAsia"/>
          <w:kern w:val="0"/>
          <w:sz w:val="18"/>
          <w:szCs w:val="18"/>
        </w:rPr>
        <w:t>【R2】</w:t>
      </w:r>
      <w:permEnd w:id="1641099039"/>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BE7FAA" w:rsidRDefault="002F3AEA">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BE7FAA" w:rsidRDefault="002F3AEA">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Theme="majorEastAsia" w:eastAsiaTheme="majorEastAsia" w:hAnsiTheme="majorEastAsia" w:hint="eastAsia"/>
          <w:bCs/>
          <w:color w:val="000000" w:themeColor="text1"/>
          <w:sz w:val="18"/>
          <w:szCs w:val="18"/>
        </w:rPr>
        <w:t>销售机构认为本产品适合以下投资者类型：</w:t>
      </w:r>
    </w:p>
    <w:p w:rsidR="00BE7FAA" w:rsidRDefault="002F3AEA">
      <w:pPr>
        <w:ind w:firstLineChars="200" w:firstLine="360"/>
        <w:rPr>
          <w:rFonts w:asciiTheme="majorEastAsia" w:eastAsiaTheme="majorEastAsia" w:hAnsiTheme="majorEastAsia"/>
          <w:bCs/>
          <w:color w:val="000000" w:themeColor="text1"/>
          <w:sz w:val="18"/>
          <w:szCs w:val="18"/>
        </w:rPr>
      </w:pPr>
      <w:permStart w:id="2018465416" w:edGrp="everyone"/>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C6】</w:t>
      </w:r>
      <w:r>
        <w:rPr>
          <w:rFonts w:asciiTheme="majorEastAsia" w:eastAsiaTheme="majorEastAsia" w:hAnsiTheme="majorEastAsia" w:hint="eastAsia"/>
          <w:bCs/>
          <w:color w:val="000000" w:themeColor="text1"/>
          <w:sz w:val="18"/>
          <w:szCs w:val="18"/>
        </w:rPr>
        <w:t>。</w:t>
      </w:r>
    </w:p>
    <w:p w:rsidR="00BE7FAA" w:rsidRDefault="002F3AEA">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，□金融同业客户。</w:t>
      </w:r>
    </w:p>
    <w:permEnd w:id="2018465416"/>
    <w:p w:rsidR="00BE7FAA" w:rsidRDefault="002F3AEA">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BE7FAA" w:rsidRDefault="002F3AEA">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BE7FAA" w:rsidRDefault="002F3AEA">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rsidR="00BE7FAA" w:rsidRDefault="002F3AEA">
      <w:pPr>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BE7FAA" w:rsidRDefault="002F3AEA">
      <w:pPr>
        <w:pStyle w:val="aa"/>
        <w:ind w:firstLine="360"/>
        <w:rPr>
          <w:rFonts w:ascii="宋体" w:hAnsi="宋体"/>
          <w:bCs/>
          <w:sz w:val="18"/>
          <w:szCs w:val="18"/>
        </w:rPr>
      </w:pPr>
      <w:permStart w:id="1949782467" w:edGrp="everyone"/>
      <w:r>
        <w:rPr>
          <w:rFonts w:ascii="宋体" w:hAnsi="宋体" w:hint="eastAsia"/>
          <w:sz w:val="18"/>
          <w:szCs w:val="18"/>
        </w:rPr>
        <w:t>【</w:t>
      </w:r>
      <w:r>
        <w:rPr>
          <w:rFonts w:ascii="宋体" w:hAnsi="宋体" w:hint="eastAsia"/>
          <w:bCs/>
          <w:sz w:val="18"/>
          <w:szCs w:val="18"/>
        </w:rPr>
        <w:t>1、拟投资市场和资产的风险：</w:t>
      </w:r>
    </w:p>
    <w:p w:rsidR="00BE7FAA" w:rsidRDefault="002F3AEA">
      <w:pPr>
        <w:pStyle w:val="aa"/>
        <w:ind w:firstLine="360"/>
        <w:rPr>
          <w:rFonts w:ascii="宋体" w:hAnsi="宋体"/>
          <w:bCs/>
          <w:sz w:val="18"/>
          <w:szCs w:val="18"/>
        </w:rPr>
      </w:pPr>
      <w:r>
        <w:rPr>
          <w:rFonts w:ascii="宋体" w:hAnsi="宋体" w:hint="eastAsia"/>
          <w:bCs/>
          <w:sz w:val="18"/>
          <w:szCs w:val="18"/>
        </w:rPr>
        <w:t>（1）投资债权类资产的风险</w:t>
      </w:r>
    </w:p>
    <w:p w:rsidR="00BE7FAA" w:rsidRDefault="002F3AEA">
      <w:pPr>
        <w:pStyle w:val="aa"/>
        <w:ind w:firstLine="360"/>
        <w:rPr>
          <w:rFonts w:ascii="宋体" w:hAnsi="宋体"/>
          <w:bCs/>
          <w:sz w:val="18"/>
          <w:szCs w:val="18"/>
        </w:rPr>
      </w:pPr>
      <w:r>
        <w:rPr>
          <w:rFonts w:ascii="宋体" w:hAnsi="宋体" w:hint="eastAsia"/>
          <w:bCs/>
          <w:sz w:val="18"/>
          <w:szCs w:val="18"/>
        </w:rPr>
        <w:t>1）投资标准化债权类资产的风险</w:t>
      </w:r>
    </w:p>
    <w:p w:rsidR="00BE7FAA" w:rsidRDefault="002F3AEA">
      <w:pPr>
        <w:pStyle w:val="aa"/>
        <w:ind w:firstLine="360"/>
        <w:rPr>
          <w:rFonts w:ascii="宋体" w:hAnsi="宋体"/>
          <w:bCs/>
          <w:sz w:val="18"/>
          <w:szCs w:val="18"/>
        </w:rPr>
      </w:pPr>
      <w:r>
        <w:rPr>
          <w:rFonts w:ascii="宋体" w:hAnsi="宋体" w:hint="eastAsia"/>
          <w:bCs/>
          <w:sz w:val="18"/>
          <w:szCs w:val="18"/>
        </w:rPr>
        <w:lastRenderedPageBreak/>
        <w:t>本产品投资债券、资产支持证券等</w:t>
      </w:r>
      <w:r w:rsidR="00876EF6">
        <w:rPr>
          <w:rFonts w:ascii="宋体" w:hAnsi="宋体" w:hint="eastAsia"/>
          <w:bCs/>
          <w:sz w:val="18"/>
          <w:szCs w:val="18"/>
        </w:rPr>
        <w:t>债权类</w:t>
      </w:r>
      <w:r>
        <w:rPr>
          <w:rFonts w:ascii="宋体" w:hAnsi="宋体" w:hint="eastAsia"/>
          <w:bCs/>
          <w:sz w:val="18"/>
          <w:szCs w:val="18"/>
        </w:rPr>
        <w:t>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BE7FAA" w:rsidRDefault="002F3AEA">
      <w:pPr>
        <w:pStyle w:val="aa"/>
        <w:ind w:firstLine="360"/>
        <w:rPr>
          <w:rFonts w:ascii="宋体" w:hAnsi="宋体"/>
          <w:bCs/>
          <w:sz w:val="18"/>
          <w:szCs w:val="18"/>
        </w:rPr>
      </w:pPr>
      <w:r>
        <w:rPr>
          <w:rFonts w:ascii="宋体" w:hAnsi="宋体" w:hint="eastAsia"/>
          <w:bCs/>
          <w:sz w:val="18"/>
          <w:szCs w:val="18"/>
        </w:rPr>
        <w:t xml:space="preserve">（2）投资商品和金融衍生品类资产的风险 </w:t>
      </w:r>
    </w:p>
    <w:p w:rsidR="00BE7FAA" w:rsidRDefault="002F3AEA">
      <w:pPr>
        <w:pStyle w:val="aa"/>
        <w:ind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rsidR="00BE7FAA" w:rsidRDefault="002F3AEA">
      <w:pPr>
        <w:ind w:firstLineChars="248" w:firstLine="446"/>
        <w:rPr>
          <w:rFonts w:ascii="宋体" w:hAnsi="宋体"/>
          <w:sz w:val="18"/>
          <w:szCs w:val="18"/>
        </w:rPr>
      </w:pPr>
      <w:r>
        <w:rPr>
          <w:rFonts w:ascii="宋体" w:hAnsi="宋体" w:hint="eastAsia"/>
          <w:sz w:val="18"/>
          <w:szCs w:val="18"/>
        </w:rPr>
        <w:t>】</w:t>
      </w:r>
    </w:p>
    <w:permEnd w:id="1949782467"/>
    <w:p w:rsidR="00BE7FAA" w:rsidRDefault="002F3AEA">
      <w:pPr>
        <w:pStyle w:val="aa"/>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BE7FAA" w:rsidRDefault="002F3AEA">
      <w:pPr>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BE7FAA" w:rsidRDefault="002F3AEA">
      <w:pPr>
        <w:pStyle w:val="aa"/>
        <w:ind w:firstLineChars="0" w:firstLine="426"/>
        <w:rPr>
          <w:rFonts w:ascii="宋体" w:hAnsi="宋体"/>
          <w:b/>
          <w:bCs/>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p>
    <w:p w:rsidR="00BE7FAA" w:rsidRDefault="002F3AEA">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BE7FAA" w:rsidRDefault="002F3AEA">
      <w:pPr>
        <w:pStyle w:val="aa"/>
        <w:ind w:firstLineChars="0" w:firstLine="426"/>
        <w:rPr>
          <w:rFonts w:ascii="宋体" w:hAnsi="宋体"/>
          <w:b/>
          <w:bCs/>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p>
    <w:p w:rsidR="00BE7FAA" w:rsidRDefault="002F3AEA">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BE7FAA" w:rsidRDefault="002F3AEA">
      <w:pPr>
        <w:pStyle w:val="aa"/>
        <w:ind w:firstLineChars="0" w:firstLine="426"/>
        <w:rPr>
          <w:rFonts w:ascii="宋体" w:hAnsi="宋体"/>
          <w:b/>
          <w:bCs/>
          <w:sz w:val="18"/>
          <w:szCs w:val="18"/>
        </w:rPr>
      </w:pPr>
      <w:r>
        <w:rPr>
          <w:rFonts w:ascii="宋体" w:hAnsi="宋体" w:hint="eastAsia"/>
          <w:b/>
          <w:bCs/>
          <w:sz w:val="18"/>
          <w:szCs w:val="18"/>
        </w:rPr>
        <w:t>3.市场</w:t>
      </w:r>
      <w:r>
        <w:rPr>
          <w:rFonts w:ascii="宋体" w:hAnsi="宋体"/>
          <w:b/>
          <w:bCs/>
          <w:sz w:val="18"/>
          <w:szCs w:val="18"/>
        </w:rPr>
        <w:t>风险</w:t>
      </w:r>
    </w:p>
    <w:p w:rsidR="00BE7FAA" w:rsidRDefault="002F3AEA">
      <w:pPr>
        <w:pStyle w:val="aa"/>
        <w:ind w:firstLineChars="0" w:firstLine="426"/>
        <w:rPr>
          <w:rFonts w:ascii="宋体" w:hAnsi="宋体" w:cs="仿宋_GB2312"/>
          <w:kern w:val="0"/>
          <w:sz w:val="18"/>
          <w:szCs w:val="18"/>
        </w:rPr>
      </w:pP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BE7FAA" w:rsidRDefault="002F3AEA">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4.流动性风险</w:t>
      </w:r>
    </w:p>
    <w:p w:rsidR="00BE7FAA" w:rsidRDefault="002F3AEA">
      <w:pPr>
        <w:pStyle w:val="aa"/>
        <w:ind w:firstLineChars="0" w:firstLine="426"/>
        <w:rPr>
          <w:rFonts w:ascii="宋体" w:hAnsi="宋体" w:cs="仿宋_GB2312"/>
          <w:bCs/>
          <w:kern w:val="0"/>
          <w:sz w:val="18"/>
          <w:szCs w:val="18"/>
        </w:rPr>
      </w:pPr>
      <w:r>
        <w:rPr>
          <w:rFonts w:ascii="宋体" w:hAnsi="宋体" w:cs="仿宋_GB2312" w:hint="eastAsia"/>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BE7FAA" w:rsidRDefault="002F3AEA">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5.</w:t>
      </w:r>
      <w:r>
        <w:rPr>
          <w:rFonts w:ascii="宋体" w:hAnsi="宋体" w:cs="仿宋_GB2312"/>
          <w:b/>
          <w:kern w:val="0"/>
          <w:sz w:val="18"/>
          <w:szCs w:val="18"/>
        </w:rPr>
        <w:t>法律与政策风险</w:t>
      </w:r>
    </w:p>
    <w:p w:rsidR="00BE7FAA" w:rsidRDefault="002F3AEA">
      <w:pPr>
        <w:pStyle w:val="aa"/>
        <w:ind w:firstLineChars="0" w:firstLine="426"/>
        <w:rPr>
          <w:rFonts w:ascii="宋体" w:hAnsi="宋体" w:cs="仿宋_GB2312"/>
          <w:kern w:val="0"/>
          <w:sz w:val="18"/>
          <w:szCs w:val="18"/>
        </w:rPr>
      </w:pP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rsidR="00BE7FAA" w:rsidRDefault="002F3AEA">
      <w:pPr>
        <w:pStyle w:val="aa"/>
        <w:ind w:firstLineChars="0" w:firstLine="426"/>
        <w:rPr>
          <w:rFonts w:ascii="宋体" w:hAnsi="宋体"/>
          <w:b/>
          <w:bCs/>
          <w:sz w:val="18"/>
          <w:szCs w:val="18"/>
        </w:rPr>
      </w:pPr>
      <w:r>
        <w:rPr>
          <w:rFonts w:ascii="宋体" w:hAnsi="宋体" w:hint="eastAsia"/>
          <w:b/>
          <w:bCs/>
          <w:sz w:val="18"/>
          <w:szCs w:val="18"/>
        </w:rPr>
        <w:t>6.</w:t>
      </w:r>
      <w:r>
        <w:rPr>
          <w:rFonts w:ascii="宋体" w:hAnsi="宋体"/>
          <w:b/>
          <w:bCs/>
          <w:sz w:val="18"/>
          <w:szCs w:val="18"/>
        </w:rPr>
        <w:t>延期</w:t>
      </w:r>
      <w:r>
        <w:rPr>
          <w:rFonts w:ascii="宋体" w:hAnsi="宋体" w:hint="eastAsia"/>
          <w:b/>
          <w:bCs/>
          <w:sz w:val="18"/>
          <w:szCs w:val="18"/>
        </w:rPr>
        <w:t>终止</w:t>
      </w:r>
      <w:r>
        <w:rPr>
          <w:rFonts w:ascii="宋体" w:hAnsi="宋体"/>
          <w:b/>
          <w:bCs/>
          <w:sz w:val="18"/>
          <w:szCs w:val="18"/>
        </w:rPr>
        <w:t>风险</w:t>
      </w:r>
    </w:p>
    <w:p w:rsidR="00BE7FAA" w:rsidRDefault="002F3AEA">
      <w:pPr>
        <w:pStyle w:val="aa"/>
        <w:ind w:firstLineChars="0" w:firstLine="426"/>
        <w:rPr>
          <w:rFonts w:ascii="宋体" w:hAnsi="宋体" w:cs="仿宋_GB2312"/>
          <w:kern w:val="0"/>
          <w:sz w:val="18"/>
          <w:szCs w:val="18"/>
        </w:rPr>
      </w:pPr>
      <w:r>
        <w:rPr>
          <w:rFonts w:ascii="宋体" w:hAnsi="宋体" w:cs="仿宋_GB2312" w:hint="eastAsia"/>
          <w:kern w:val="0"/>
          <w:sz w:val="18"/>
          <w:szCs w:val="18"/>
        </w:rPr>
        <w:t>指因市场内部和外部的原因导致理财基础资产不能及时变现而造成理财产品不能按时分配，理财期限将相应延长，从而导致本产品部分资金的延期分配。</w:t>
      </w:r>
    </w:p>
    <w:p w:rsidR="00BE7FAA" w:rsidRDefault="002F3AEA">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7.</w:t>
      </w:r>
      <w:r>
        <w:rPr>
          <w:rFonts w:ascii="宋体" w:hAnsi="宋体" w:cs="仿宋_GB2312"/>
          <w:b/>
          <w:kern w:val="0"/>
          <w:sz w:val="18"/>
          <w:szCs w:val="18"/>
        </w:rPr>
        <w:t>提前终止风险</w:t>
      </w:r>
    </w:p>
    <w:p w:rsidR="00BE7FAA" w:rsidRDefault="002F3AEA">
      <w:pPr>
        <w:pStyle w:val="aa"/>
        <w:ind w:firstLineChars="0" w:firstLine="426"/>
        <w:rPr>
          <w:rFonts w:ascii="宋体" w:hAnsi="宋体" w:cs="仿宋_GB2312"/>
          <w:kern w:val="0"/>
          <w:sz w:val="18"/>
          <w:szCs w:val="18"/>
        </w:rPr>
      </w:pPr>
      <w:r>
        <w:rPr>
          <w:rFonts w:ascii="宋体" w:hAnsi="宋体" w:cs="仿宋_GB2312" w:hint="eastAsia"/>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rsidR="00BE7FAA" w:rsidRDefault="002F3AEA">
      <w:pPr>
        <w:pStyle w:val="aa"/>
        <w:ind w:firstLineChars="0" w:firstLine="426"/>
        <w:rPr>
          <w:rFonts w:ascii="黑体" w:eastAsia="黑体" w:hAnsi="黑体" w:cs="黑体"/>
          <w:b/>
          <w:bCs/>
          <w:sz w:val="18"/>
          <w:szCs w:val="18"/>
        </w:rPr>
      </w:pPr>
      <w:r>
        <w:rPr>
          <w:rFonts w:ascii="黑体" w:eastAsia="黑体" w:hAnsi="黑体" w:cs="黑体" w:hint="eastAsia"/>
          <w:b/>
          <w:bCs/>
          <w:sz w:val="18"/>
          <w:szCs w:val="18"/>
        </w:rPr>
        <w:t>8.</w:t>
      </w:r>
      <w:r>
        <w:rPr>
          <w:rFonts w:ascii="黑体" w:eastAsia="黑体" w:hAnsi="黑体" w:cs="黑体" w:hint="eastAsia"/>
          <w:sz w:val="18"/>
          <w:szCs w:val="18"/>
        </w:rPr>
        <w:t>★</w:t>
      </w:r>
      <w:r>
        <w:rPr>
          <w:rFonts w:ascii="黑体" w:eastAsia="黑体" w:hAnsi="黑体" w:cs="黑体" w:hint="eastAsia"/>
          <w:b/>
          <w:bCs/>
          <w:sz w:val="18"/>
          <w:szCs w:val="18"/>
        </w:rPr>
        <w:t>信息传递风险</w:t>
      </w:r>
    </w:p>
    <w:p w:rsidR="00BE7FAA" w:rsidRDefault="002F3AEA">
      <w:pPr>
        <w:pStyle w:val="aa"/>
        <w:ind w:firstLineChars="0" w:firstLine="426"/>
        <w:rPr>
          <w:rFonts w:ascii="黑体" w:eastAsia="黑体" w:hAnsi="黑体" w:cs="黑体"/>
          <w:kern w:val="0"/>
          <w:sz w:val="18"/>
          <w:szCs w:val="18"/>
        </w:rPr>
      </w:pPr>
      <w:r>
        <w:rPr>
          <w:rFonts w:ascii="黑体" w:eastAsia="黑体" w:hAnsi="黑体" w:cs="黑体" w:hint="eastAsia"/>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w:t>
      </w:r>
      <w:r>
        <w:rPr>
          <w:rFonts w:ascii="黑体" w:eastAsia="黑体" w:hAnsi="黑体" w:cs="黑体" w:hint="eastAsia"/>
          <w:kern w:val="0"/>
          <w:sz w:val="18"/>
          <w:szCs w:val="18"/>
        </w:rPr>
        <w:lastRenderedPageBreak/>
        <w:t>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rsidR="00BE7FAA" w:rsidRDefault="002F3AEA">
      <w:pPr>
        <w:ind w:firstLineChars="200" w:firstLine="361"/>
        <w:rPr>
          <w:rFonts w:ascii="宋体" w:hAnsi="宋体"/>
          <w:b/>
          <w:bCs/>
          <w:sz w:val="18"/>
          <w:szCs w:val="18"/>
        </w:rPr>
      </w:pPr>
      <w:r>
        <w:rPr>
          <w:rFonts w:ascii="宋体" w:hAnsi="宋体" w:hint="eastAsia"/>
          <w:b/>
          <w:bCs/>
          <w:sz w:val="18"/>
          <w:szCs w:val="18"/>
        </w:rPr>
        <w:t>9.</w:t>
      </w:r>
      <w:r>
        <w:rPr>
          <w:rFonts w:ascii="宋体" w:hAnsi="宋体"/>
          <w:b/>
          <w:bCs/>
          <w:sz w:val="18"/>
          <w:szCs w:val="18"/>
        </w:rPr>
        <w:t>不可抗力及意外事件风险</w:t>
      </w:r>
    </w:p>
    <w:p w:rsidR="00BE7FAA" w:rsidRDefault="002F3AEA">
      <w:pPr>
        <w:ind w:firstLineChars="200" w:firstLine="360"/>
        <w:rPr>
          <w:rFonts w:ascii="宋体" w:hAnsi="宋体"/>
          <w:bCs/>
          <w:sz w:val="18"/>
          <w:szCs w:val="18"/>
        </w:rPr>
      </w:pPr>
      <w:r>
        <w:rPr>
          <w:rFonts w:ascii="宋体" w:hAnsi="宋体" w:hint="eastAsia"/>
          <w:bCs/>
          <w:sz w:val="18"/>
          <w:szCs w:val="18"/>
        </w:rPr>
        <w:t>因战争、自然灾害、重大政治事件等不可抗力以及其他不可预见的意外事件可能致使理财产品面临损失的风险。</w:t>
      </w:r>
    </w:p>
    <w:p w:rsidR="00BE7FAA" w:rsidRDefault="002F3AEA">
      <w:pPr>
        <w:pStyle w:val="aa"/>
        <w:ind w:firstLine="361"/>
        <w:rPr>
          <w:rFonts w:ascii="宋体" w:hAnsi="宋体"/>
          <w:b/>
          <w:bCs/>
          <w:sz w:val="18"/>
          <w:szCs w:val="18"/>
        </w:rPr>
      </w:pPr>
      <w:r>
        <w:rPr>
          <w:rFonts w:ascii="宋体" w:hAnsi="宋体" w:hint="eastAsia"/>
          <w:b/>
          <w:bCs/>
          <w:sz w:val="18"/>
          <w:szCs w:val="18"/>
        </w:rPr>
        <w:t>10.</w:t>
      </w:r>
      <w:r>
        <w:rPr>
          <w:rFonts w:ascii="宋体" w:hAnsi="宋体"/>
          <w:b/>
          <w:bCs/>
          <w:sz w:val="18"/>
          <w:szCs w:val="18"/>
        </w:rPr>
        <w:t>管理人风险</w:t>
      </w:r>
    </w:p>
    <w:p w:rsidR="00BE7FAA" w:rsidRDefault="002F3AEA">
      <w:pPr>
        <w:pStyle w:val="aa"/>
        <w:ind w:firstLine="360"/>
        <w:rPr>
          <w:rFonts w:ascii="宋体" w:hAnsi="宋体"/>
          <w:bCs/>
          <w:sz w:val="18"/>
          <w:szCs w:val="18"/>
        </w:rPr>
      </w:pPr>
      <w:r>
        <w:rPr>
          <w:rFonts w:ascii="宋体" w:hAnsi="宋体" w:hint="eastAsia"/>
          <w:bCs/>
          <w:sz w:val="18"/>
          <w:szCs w:val="18"/>
        </w:rPr>
        <w:t>理财产品管理人或理财投资资产相关服务机构受经验、技能等因素的限制，或者上述主体处理事务不当等，可能导致投资者遭受损失。</w:t>
      </w:r>
    </w:p>
    <w:p w:rsidR="00BE7FAA" w:rsidRDefault="002F3AEA">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1.理财产品不成立风险</w:t>
      </w:r>
    </w:p>
    <w:p w:rsidR="00BE7FAA" w:rsidRDefault="002F3AEA">
      <w:pPr>
        <w:pStyle w:val="aa"/>
        <w:ind w:firstLine="360"/>
        <w:rPr>
          <w:rFonts w:ascii="宋体" w:hAnsi="宋体"/>
          <w:bCs/>
          <w:sz w:val="18"/>
          <w:szCs w:val="18"/>
        </w:rPr>
      </w:pP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BE7FAA" w:rsidRDefault="002F3AEA">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2.</w:t>
      </w:r>
      <w:r>
        <w:rPr>
          <w:rFonts w:ascii="宋体" w:hAnsi="宋体"/>
          <w:b/>
          <w:bCs/>
          <w:sz w:val="18"/>
          <w:szCs w:val="18"/>
        </w:rPr>
        <w:t>操作风险</w:t>
      </w:r>
    </w:p>
    <w:p w:rsidR="00BE7FAA" w:rsidRDefault="002F3AEA">
      <w:pPr>
        <w:pStyle w:val="aa"/>
        <w:ind w:firstLine="360"/>
        <w:rPr>
          <w:rFonts w:ascii="宋体" w:hAnsi="宋体"/>
          <w:bCs/>
          <w:sz w:val="18"/>
          <w:szCs w:val="18"/>
        </w:rPr>
      </w:pP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BE7FAA" w:rsidRDefault="002F3AEA">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3</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p>
    <w:p w:rsidR="00BE7FAA" w:rsidRDefault="002F3AEA">
      <w:pPr>
        <w:pStyle w:val="aa"/>
        <w:ind w:firstLine="360"/>
        <w:rPr>
          <w:rFonts w:ascii="宋体" w:hAnsi="宋体"/>
          <w:bCs/>
          <w:sz w:val="18"/>
          <w:szCs w:val="18"/>
        </w:rPr>
      </w:pP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BE7FAA" w:rsidRDefault="002F3AEA">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4.</w:t>
      </w:r>
      <w:r>
        <w:rPr>
          <w:rFonts w:ascii="宋体" w:hAnsi="宋体"/>
          <w:b/>
          <w:bCs/>
          <w:sz w:val="18"/>
          <w:szCs w:val="18"/>
        </w:rPr>
        <w:t>估值差错风险</w:t>
      </w:r>
    </w:p>
    <w:p w:rsidR="00BE7FAA" w:rsidRDefault="002F3AEA">
      <w:pPr>
        <w:pStyle w:val="aa"/>
        <w:ind w:firstLine="360"/>
        <w:rPr>
          <w:rFonts w:ascii="宋体" w:hAnsi="宋体"/>
          <w:bCs/>
          <w:sz w:val="18"/>
          <w:szCs w:val="18"/>
        </w:rPr>
      </w:pP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BE7FAA" w:rsidRDefault="002F3AEA">
      <w:pPr>
        <w:pStyle w:val="aa"/>
        <w:ind w:firstLine="361"/>
        <w:rPr>
          <w:rFonts w:ascii="黑体" w:eastAsia="黑体" w:hAnsi="黑体" w:cs="黑体"/>
          <w:b/>
          <w:bCs/>
          <w:sz w:val="18"/>
          <w:szCs w:val="18"/>
        </w:rPr>
      </w:pPr>
      <w:r>
        <w:rPr>
          <w:rFonts w:ascii="黑体" w:eastAsia="黑体" w:hAnsi="黑体" w:cs="黑体" w:hint="eastAsia"/>
          <w:b/>
          <w:bCs/>
          <w:sz w:val="18"/>
          <w:szCs w:val="18"/>
        </w:rPr>
        <w:t>15.</w:t>
      </w:r>
      <w:r>
        <w:rPr>
          <w:rFonts w:ascii="黑体" w:eastAsia="黑体" w:hAnsi="黑体" w:cs="黑体" w:hint="eastAsia"/>
          <w:sz w:val="18"/>
          <w:szCs w:val="18"/>
        </w:rPr>
        <w:t>★</w:t>
      </w:r>
      <w:r>
        <w:rPr>
          <w:rFonts w:ascii="黑体" w:eastAsia="黑体" w:hAnsi="黑体" w:cs="黑体" w:hint="eastAsia"/>
          <w:b/>
          <w:bCs/>
          <w:sz w:val="18"/>
          <w:szCs w:val="18"/>
        </w:rPr>
        <w:t>代销风险</w:t>
      </w:r>
    </w:p>
    <w:p w:rsidR="00BE7FAA" w:rsidRDefault="002F3AEA">
      <w:pPr>
        <w:pStyle w:val="aa"/>
        <w:ind w:firstLine="360"/>
        <w:rPr>
          <w:rFonts w:ascii="黑体" w:eastAsia="黑体" w:hAnsi="黑体" w:cs="黑体"/>
          <w:bCs/>
          <w:sz w:val="18"/>
          <w:szCs w:val="18"/>
        </w:rPr>
      </w:pPr>
      <w:r>
        <w:rPr>
          <w:rFonts w:ascii="黑体" w:eastAsia="黑体" w:hAnsi="黑体" w:cs="黑体" w:hint="eastAsia"/>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BE7FAA" w:rsidRDefault="002F3AEA">
      <w:pPr>
        <w:spacing w:line="276" w:lineRule="auto"/>
        <w:ind w:firstLineChars="200" w:firstLine="361"/>
        <w:rPr>
          <w:rFonts w:ascii="黑体" w:eastAsia="黑体" w:hAnsi="黑体" w:cs="仿宋_GB2312"/>
          <w:b/>
          <w:bCs/>
          <w:kern w:val="0"/>
          <w:sz w:val="18"/>
          <w:szCs w:val="18"/>
        </w:rPr>
      </w:pPr>
      <w:r>
        <w:rPr>
          <w:rFonts w:ascii="黑体" w:eastAsia="黑体" w:hAnsi="黑体"/>
          <w:b/>
          <w:bCs/>
          <w:sz w:val="18"/>
          <w:szCs w:val="18"/>
        </w:rPr>
        <w:t>1</w:t>
      </w:r>
      <w:r>
        <w:rPr>
          <w:rFonts w:ascii="黑体" w:eastAsia="黑体" w:hAnsi="黑体" w:hint="eastAsia"/>
          <w:b/>
          <w:bCs/>
          <w:sz w:val="18"/>
          <w:szCs w:val="18"/>
        </w:rPr>
        <w:t>6</w:t>
      </w:r>
      <w:r>
        <w:rPr>
          <w:rFonts w:ascii="黑体" w:eastAsia="黑体" w:hAnsi="黑体"/>
          <w:b/>
          <w:bCs/>
          <w:sz w:val="18"/>
          <w:szCs w:val="18"/>
        </w:rPr>
        <w:t>.</w:t>
      </w:r>
      <w:r>
        <w:rPr>
          <w:rFonts w:ascii="黑体" w:eastAsia="黑体" w:hAnsi="黑体" w:cs="仿宋_GB2312" w:hint="eastAsia"/>
          <w:b/>
          <w:bCs/>
          <w:kern w:val="0"/>
          <w:sz w:val="18"/>
          <w:szCs w:val="18"/>
        </w:rPr>
        <w:t>★不同理财产品份额类别存在差异的风险</w:t>
      </w:r>
    </w:p>
    <w:p w:rsidR="00BE7FAA" w:rsidRDefault="002F3AEA">
      <w:pPr>
        <w:spacing w:line="276" w:lineRule="auto"/>
        <w:ind w:firstLineChars="200" w:firstLine="360"/>
        <w:rPr>
          <w:rFonts w:ascii="黑体" w:eastAsia="黑体" w:hAnsi="黑体"/>
          <w:sz w:val="18"/>
          <w:szCs w:val="18"/>
        </w:rPr>
      </w:pP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等因素，对理财投资者所持有的理财产品设置不同理财产品份额类别。不同类别的理财产品份额可能在销售名称、收费方式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rsidR="00BE7FAA" w:rsidRDefault="002F3AEA">
      <w:pPr>
        <w:pStyle w:val="aa"/>
        <w:ind w:firstLineChars="0"/>
        <w:rPr>
          <w:rFonts w:ascii="宋体" w:hAnsi="宋体"/>
          <w:b/>
          <w:bCs/>
          <w:sz w:val="18"/>
          <w:szCs w:val="18"/>
        </w:rPr>
      </w:pPr>
      <w:r>
        <w:rPr>
          <w:rFonts w:ascii="宋体" w:hAnsi="宋体" w:hint="eastAsia"/>
          <w:b/>
          <w:bCs/>
          <w:sz w:val="18"/>
          <w:szCs w:val="18"/>
        </w:rPr>
        <w:t>17.关联交易风险</w:t>
      </w:r>
    </w:p>
    <w:p w:rsidR="00BE7FAA" w:rsidRDefault="002F3AEA">
      <w:pPr>
        <w:pStyle w:val="aa"/>
        <w:ind w:firstLineChars="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rsidR="00BE7FAA" w:rsidRDefault="002F3AEA">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w:t>
      </w:r>
      <w:r>
        <w:rPr>
          <w:rFonts w:ascii="黑体" w:eastAsia="黑体" w:hAnsi="黑体" w:hint="eastAsia"/>
          <w:bCs/>
          <w:sz w:val="18"/>
          <w:szCs w:val="18"/>
        </w:rPr>
        <w:lastRenderedPageBreak/>
        <w:t>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BE7FAA" w:rsidRDefault="002F3AEA">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五、【非机构投资者适用】</w:t>
      </w:r>
      <w:r>
        <w:rPr>
          <w:rFonts w:ascii="宋体" w:hAnsi="宋体" w:cs="仿宋_GB2312" w:hint="eastAsia"/>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如影响您风险承受能力的因素发生变化，请您及时重新完成风险承受能力评估。其他类型投资者的风险承受能力评估按照《（代理）销售协议书》约定或销售机构的销售政策执行。</w:t>
      </w:r>
    </w:p>
    <w:p w:rsidR="00BE7FAA" w:rsidRDefault="002F3AEA">
      <w:pPr>
        <w:autoSpaceDE w:val="0"/>
        <w:autoSpaceDN w:val="0"/>
        <w:adjustRightInd w:val="0"/>
        <w:ind w:firstLine="420"/>
        <w:jc w:val="left"/>
        <w:rPr>
          <w:rFonts w:ascii="黑体" w:eastAsia="黑体" w:hAnsi="黑体" w:cs="仿宋_GB2312"/>
          <w:kern w:val="0"/>
          <w:sz w:val="18"/>
          <w:szCs w:val="18"/>
        </w:rPr>
      </w:pPr>
      <w:r>
        <w:rPr>
          <w:rFonts w:ascii="黑体" w:eastAsia="黑体" w:hAnsi="黑体" w:hint="eastAsia"/>
          <w:bCs/>
          <w:sz w:val="18"/>
          <w:szCs w:val="18"/>
        </w:rPr>
        <w:t>六、【产品风险评级为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的理财产品适用】当销售机构销售产品风险评级为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w:t>
      </w:r>
      <w:r>
        <w:rPr>
          <w:rFonts w:ascii="黑体" w:eastAsia="黑体" w:hAnsi="黑体" w:cs="仿宋_GB2312" w:hint="eastAsia"/>
          <w:kern w:val="0"/>
          <w:sz w:val="18"/>
          <w:szCs w:val="18"/>
        </w:rPr>
        <w:t>您签署本销售文件即视为您同意销售机构可以通过线上渠道向您销售产品风险评级为R4及以上的理财产品。</w:t>
      </w:r>
    </w:p>
    <w:p w:rsidR="00BE7FAA" w:rsidRDefault="00BE7FAA">
      <w:pPr>
        <w:ind w:left="540"/>
        <w:jc w:val="right"/>
        <w:rPr>
          <w:rFonts w:ascii="宋体" w:hAnsi="宋体"/>
          <w:sz w:val="18"/>
          <w:szCs w:val="18"/>
        </w:rPr>
      </w:pPr>
    </w:p>
    <w:p w:rsidR="00BE7FAA" w:rsidRDefault="002F3AEA">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BE7FAA" w:rsidRDefault="002F3AEA">
      <w:pPr>
        <w:wordWrap w:val="0"/>
        <w:ind w:left="540"/>
        <w:jc w:val="right"/>
        <w:rPr>
          <w:rFonts w:ascii="宋体" w:hAnsi="宋体"/>
          <w:sz w:val="18"/>
          <w:szCs w:val="18"/>
        </w:rPr>
      </w:pPr>
      <w:permStart w:id="117712504" w:edGrp="everyone"/>
      <w:r>
        <w:rPr>
          <w:rFonts w:ascii="宋体" w:hAnsi="宋体" w:hint="eastAsia"/>
          <w:sz w:val="18"/>
          <w:szCs w:val="18"/>
        </w:rPr>
        <w:t xml:space="preserve">销售机构（【  </w:t>
      </w:r>
      <w:r>
        <w:rPr>
          <w:rFonts w:ascii="宋体" w:hAnsi="宋体"/>
          <w:sz w:val="18"/>
          <w:szCs w:val="18"/>
        </w:rPr>
        <w:t xml:space="preserve">                 </w:t>
      </w:r>
      <w:r>
        <w:rPr>
          <w:rFonts w:ascii="宋体" w:hAnsi="宋体" w:hint="eastAsia"/>
          <w:sz w:val="18"/>
          <w:szCs w:val="18"/>
        </w:rPr>
        <w:t>】）</w:t>
      </w:r>
    </w:p>
    <w:permEnd w:id="117712504"/>
    <w:p w:rsidR="00BE7FAA" w:rsidRDefault="002F3AEA">
      <w:pPr>
        <w:widowControl/>
        <w:jc w:val="left"/>
        <w:rPr>
          <w:rFonts w:ascii="宋体" w:hAnsi="宋体"/>
          <w:sz w:val="18"/>
          <w:szCs w:val="18"/>
        </w:rPr>
      </w:pPr>
      <w:r>
        <w:rPr>
          <w:rFonts w:ascii="宋体" w:hAnsi="宋体"/>
          <w:sz w:val="18"/>
          <w:szCs w:val="18"/>
        </w:rPr>
        <w:br w:type="page"/>
      </w:r>
    </w:p>
    <w:p w:rsidR="00BE7FAA" w:rsidRDefault="00BE7FAA">
      <w:pPr>
        <w:ind w:left="540"/>
        <w:jc w:val="right"/>
        <w:rPr>
          <w:rFonts w:ascii="宋体" w:hAnsi="宋体"/>
          <w:sz w:val="18"/>
          <w:szCs w:val="18"/>
        </w:rPr>
      </w:pPr>
    </w:p>
    <w:p w:rsidR="00BE7FAA" w:rsidRDefault="00BE7FAA">
      <w:pPr>
        <w:ind w:left="540"/>
        <w:jc w:val="right"/>
        <w:rPr>
          <w:rFonts w:ascii="宋体" w:hAnsi="宋体"/>
          <w:sz w:val="18"/>
          <w:szCs w:val="18"/>
        </w:rPr>
      </w:pP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8"/>
      </w:tblGrid>
      <w:tr w:rsidR="00BE7FAA">
        <w:trPr>
          <w:trHeight w:val="627"/>
        </w:trPr>
        <w:tc>
          <w:tcPr>
            <w:tcW w:w="8371" w:type="dxa"/>
          </w:tcPr>
          <w:p w:rsidR="00BE7FAA" w:rsidRDefault="002F3AEA">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BE7FAA" w:rsidRDefault="002F3AEA">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BE7FAA">
        <w:trPr>
          <w:trHeight w:val="6283"/>
        </w:trPr>
        <w:tc>
          <w:tcPr>
            <w:tcW w:w="8371" w:type="dxa"/>
          </w:tcPr>
          <w:p w:rsidR="00BE7FAA" w:rsidRDefault="002F3AEA">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BE7FAA" w:rsidRDefault="00BE7FAA">
            <w:pPr>
              <w:spacing w:line="280" w:lineRule="atLeast"/>
              <w:jc w:val="left"/>
              <w:rPr>
                <w:rFonts w:ascii="宋体" w:hAnsi="宋体" w:cs="Arial"/>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kern w:val="0"/>
                <w:sz w:val="18"/>
                <w:szCs w:val="18"/>
                <w:u w:val="single"/>
              </w:rPr>
            </w:pPr>
            <w:r>
              <w:rPr>
                <w:rFonts w:ascii="宋体" w:hAnsi="宋体" w:cs="Arial" w:hint="eastAsia"/>
                <w:kern w:val="0"/>
                <w:sz w:val="18"/>
                <w:szCs w:val="18"/>
              </w:rPr>
              <w:t>请投资者在此抄录：</w:t>
            </w:r>
          </w:p>
          <w:p w:rsidR="00BE7FAA" w:rsidRDefault="00BE7FAA">
            <w:pPr>
              <w:spacing w:line="280" w:lineRule="atLeast"/>
              <w:jc w:val="left"/>
              <w:rPr>
                <w:kern w:val="0"/>
                <w:sz w:val="18"/>
                <w:szCs w:val="18"/>
                <w:u w:val="single"/>
              </w:rPr>
            </w:pPr>
          </w:p>
          <w:p w:rsidR="00BE7FAA" w:rsidRDefault="002F3AEA">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BE7FAA" w:rsidRDefault="00BE7FAA">
            <w:pPr>
              <w:spacing w:line="280" w:lineRule="atLeast"/>
              <w:ind w:left="4200" w:firstLineChars="600" w:firstLine="1080"/>
              <w:jc w:val="left"/>
              <w:rPr>
                <w:rFonts w:ascii="宋体" w:hAnsi="宋体" w:cs="Arial"/>
                <w:kern w:val="0"/>
                <w:sz w:val="18"/>
                <w:szCs w:val="18"/>
              </w:rPr>
            </w:pPr>
          </w:p>
          <w:p w:rsidR="00BE7FAA" w:rsidRDefault="002F3AEA">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BE7FAA" w:rsidRDefault="00BE7FAA">
            <w:pPr>
              <w:spacing w:line="280" w:lineRule="atLeast"/>
              <w:ind w:left="4200" w:firstLineChars="600" w:firstLine="1080"/>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rsidR="00BE7FAA" w:rsidRDefault="00BE7FAA">
            <w:pPr>
              <w:spacing w:line="280" w:lineRule="atLeast"/>
              <w:jc w:val="right"/>
              <w:rPr>
                <w:rFonts w:ascii="宋体" w:hAnsi="宋体"/>
                <w:kern w:val="0"/>
                <w:sz w:val="18"/>
                <w:szCs w:val="18"/>
              </w:rPr>
            </w:pPr>
          </w:p>
        </w:tc>
      </w:tr>
    </w:tbl>
    <w:p w:rsidR="00BE7FAA" w:rsidRDefault="00BE7FAA">
      <w:pPr>
        <w:autoSpaceDE w:val="0"/>
        <w:autoSpaceDN w:val="0"/>
        <w:adjustRightInd w:val="0"/>
        <w:spacing w:line="360" w:lineRule="auto"/>
        <w:ind w:firstLine="420"/>
        <w:jc w:val="left"/>
        <w:rPr>
          <w:rFonts w:ascii="宋体" w:hAnsi="宋体"/>
          <w:sz w:val="24"/>
        </w:rPr>
      </w:pPr>
    </w:p>
    <w:p w:rsidR="00BE7FAA" w:rsidRDefault="00BE7FAA">
      <w:pPr>
        <w:autoSpaceDE w:val="0"/>
        <w:autoSpaceDN w:val="0"/>
        <w:adjustRightInd w:val="0"/>
        <w:spacing w:line="360" w:lineRule="auto"/>
        <w:ind w:firstLine="420"/>
        <w:jc w:val="left"/>
        <w:rPr>
          <w:rFonts w:ascii="宋体" w:hAnsi="宋体"/>
          <w:sz w:val="24"/>
        </w:rPr>
      </w:pPr>
    </w:p>
    <w:p w:rsidR="00BE7FAA" w:rsidRDefault="00BE7FAA">
      <w:pPr>
        <w:autoSpaceDE w:val="0"/>
        <w:autoSpaceDN w:val="0"/>
        <w:adjustRightInd w:val="0"/>
        <w:spacing w:line="360" w:lineRule="auto"/>
        <w:ind w:firstLine="420"/>
        <w:jc w:val="left"/>
        <w:rPr>
          <w:rFonts w:ascii="宋体" w:hAnsi="宋体"/>
          <w:sz w:val="24"/>
        </w:rPr>
      </w:pPr>
    </w:p>
    <w:p w:rsidR="00BE7FAA" w:rsidRDefault="00BE7FAA">
      <w:pPr>
        <w:autoSpaceDE w:val="0"/>
        <w:autoSpaceDN w:val="0"/>
        <w:adjustRightInd w:val="0"/>
        <w:spacing w:line="360" w:lineRule="auto"/>
        <w:ind w:firstLine="420"/>
        <w:jc w:val="left"/>
        <w:rPr>
          <w:rFonts w:ascii="宋体" w:hAnsi="宋体"/>
          <w:sz w:val="24"/>
        </w:rPr>
      </w:pPr>
    </w:p>
    <w:p w:rsidR="00BE7FAA" w:rsidRDefault="00BE7FAA">
      <w:pPr>
        <w:rPr>
          <w:rFonts w:ascii="宋体" w:hAnsi="宋体" w:cs="Arial"/>
          <w:sz w:val="24"/>
        </w:rPr>
      </w:pPr>
    </w:p>
    <w:p w:rsidR="00BE7FAA" w:rsidRDefault="00BE7FAA">
      <w:pPr>
        <w:rPr>
          <w:rFonts w:ascii="宋体" w:hAnsi="宋体" w:cs="Arial"/>
          <w:sz w:val="24"/>
        </w:rPr>
      </w:pPr>
    </w:p>
    <w:p w:rsidR="00BE7FAA" w:rsidRDefault="00BE7FAA">
      <w:pPr>
        <w:rPr>
          <w:rFonts w:ascii="宋体" w:hAnsi="宋体" w:cs="Arial"/>
          <w:sz w:val="24"/>
        </w:rPr>
      </w:pPr>
    </w:p>
    <w:p w:rsidR="00BE7FAA" w:rsidRDefault="00BE7FAA">
      <w:pPr>
        <w:rPr>
          <w:rFonts w:ascii="宋体" w:hAnsi="宋体" w:cs="Arial"/>
          <w:sz w:val="24"/>
        </w:rPr>
      </w:pPr>
    </w:p>
    <w:p w:rsidR="00BE7FAA" w:rsidRDefault="00BE7FAA">
      <w:pPr>
        <w:rPr>
          <w:rFonts w:ascii="宋体" w:hAnsi="宋体" w:cs="Arial"/>
          <w:sz w:val="24"/>
        </w:rPr>
      </w:pPr>
    </w:p>
    <w:p w:rsidR="00BE7FAA" w:rsidRDefault="00BE7FAA">
      <w:pPr>
        <w:rPr>
          <w:rFonts w:ascii="宋体" w:hAnsi="宋体" w:cs="Arial"/>
          <w:sz w:val="24"/>
        </w:rPr>
      </w:pPr>
    </w:p>
    <w:p w:rsidR="00BE7FAA" w:rsidRDefault="002F3AEA">
      <w:pPr>
        <w:widowControl/>
        <w:jc w:val="left"/>
        <w:rPr>
          <w:rFonts w:ascii="宋体" w:hAnsi="宋体" w:cs="Arial"/>
          <w:sz w:val="24"/>
        </w:rPr>
      </w:pPr>
      <w:r>
        <w:rPr>
          <w:rFonts w:ascii="宋体" w:hAnsi="宋体" w:cs="Arial"/>
          <w:sz w:val="24"/>
        </w:rPr>
        <w:br w:type="page"/>
      </w:r>
    </w:p>
    <w:tbl>
      <w:tblPr>
        <w:tblStyle w:val="a8"/>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13"/>
      </w:tblGrid>
      <w:tr w:rsidR="00BE7FAA">
        <w:trPr>
          <w:trHeight w:val="823"/>
        </w:trPr>
        <w:tc>
          <w:tcPr>
            <w:tcW w:w="8413" w:type="dxa"/>
          </w:tcPr>
          <w:p w:rsidR="00BE7FAA" w:rsidRDefault="002F3AEA">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BE7FAA" w:rsidRDefault="002F3AEA">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BE7FAA">
        <w:trPr>
          <w:trHeight w:val="7355"/>
        </w:trPr>
        <w:tc>
          <w:tcPr>
            <w:tcW w:w="8413" w:type="dxa"/>
          </w:tcPr>
          <w:p w:rsidR="00BE7FAA" w:rsidRDefault="002F3AEA">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BE7FAA" w:rsidRDefault="00BE7FAA">
            <w:pPr>
              <w:spacing w:line="280" w:lineRule="atLeast"/>
              <w:ind w:firstLineChars="200" w:firstLine="360"/>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BE7FAA" w:rsidRDefault="00BE7FAA">
            <w:pPr>
              <w:spacing w:line="280" w:lineRule="atLeast"/>
              <w:ind w:firstLineChars="200" w:firstLine="360"/>
              <w:jc w:val="left"/>
              <w:rPr>
                <w:rFonts w:ascii="宋体" w:hAnsi="宋体" w:cs="Arial"/>
                <w:kern w:val="0"/>
                <w:sz w:val="18"/>
                <w:szCs w:val="18"/>
              </w:rPr>
            </w:pPr>
          </w:p>
          <w:p w:rsidR="00BE7FAA" w:rsidRDefault="002F3AEA">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BE7FAA" w:rsidRDefault="00BE7FAA">
            <w:pPr>
              <w:spacing w:line="280" w:lineRule="atLeast"/>
              <w:ind w:left="4200" w:firstLineChars="600" w:firstLine="1080"/>
              <w:jc w:val="left"/>
              <w:rPr>
                <w:rFonts w:ascii="宋体" w:hAnsi="宋体" w:cs="Arial"/>
                <w:kern w:val="0"/>
                <w:sz w:val="18"/>
                <w:szCs w:val="18"/>
              </w:rPr>
            </w:pPr>
          </w:p>
          <w:p w:rsidR="00BE7FAA" w:rsidRDefault="002F3AEA">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BE7FAA" w:rsidRDefault="00BE7FAA">
            <w:pPr>
              <w:spacing w:line="280" w:lineRule="atLeast"/>
              <w:rPr>
                <w:kern w:val="0"/>
                <w:sz w:val="20"/>
                <w:szCs w:val="20"/>
              </w:rPr>
            </w:pPr>
          </w:p>
          <w:p w:rsidR="00BE7FAA" w:rsidRDefault="002F3AEA">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BE7FAA" w:rsidRDefault="002F3AEA">
      <w:pPr>
        <w:widowControl/>
        <w:jc w:val="left"/>
        <w:rPr>
          <w:rFonts w:ascii="宋体" w:hAnsi="宋体"/>
          <w:b/>
          <w:sz w:val="28"/>
          <w:szCs w:val="28"/>
        </w:rPr>
      </w:pPr>
      <w:r>
        <w:rPr>
          <w:rFonts w:ascii="宋体" w:hAnsi="宋体"/>
          <w:b/>
          <w:sz w:val="28"/>
          <w:szCs w:val="28"/>
        </w:rPr>
        <w:br w:type="page"/>
      </w:r>
    </w:p>
    <w:tbl>
      <w:tblPr>
        <w:tblStyle w:val="a8"/>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88"/>
      </w:tblGrid>
      <w:tr w:rsidR="00BE7FAA">
        <w:trPr>
          <w:trHeight w:val="673"/>
        </w:trPr>
        <w:tc>
          <w:tcPr>
            <w:tcW w:w="8388" w:type="dxa"/>
          </w:tcPr>
          <w:p w:rsidR="00BE7FAA" w:rsidRDefault="002F3AEA">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BE7FAA" w:rsidRDefault="002F3AEA">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BE7FAA">
        <w:trPr>
          <w:trHeight w:val="6016"/>
        </w:trPr>
        <w:tc>
          <w:tcPr>
            <w:tcW w:w="8388" w:type="dxa"/>
          </w:tcPr>
          <w:p w:rsidR="00BE7FAA" w:rsidRDefault="002F3AEA">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BE7FAA" w:rsidRDefault="00BE7FAA">
            <w:pPr>
              <w:spacing w:line="280" w:lineRule="atLeast"/>
              <w:ind w:firstLineChars="200" w:firstLine="360"/>
              <w:jc w:val="left"/>
              <w:rPr>
                <w:rFonts w:ascii="宋体" w:hAnsi="宋体" w:cs="Arial"/>
                <w:kern w:val="0"/>
                <w:sz w:val="18"/>
                <w:szCs w:val="18"/>
              </w:rPr>
            </w:pPr>
          </w:p>
          <w:p w:rsidR="00BE7FAA" w:rsidRDefault="002F3AEA">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BE7FAA" w:rsidRDefault="00BE7FAA">
            <w:pPr>
              <w:spacing w:line="280" w:lineRule="atLeast"/>
              <w:jc w:val="left"/>
              <w:rPr>
                <w:rFonts w:ascii="宋体" w:hAnsi="宋体" w:cs="Arial"/>
                <w:kern w:val="0"/>
                <w:sz w:val="18"/>
                <w:szCs w:val="18"/>
              </w:rPr>
            </w:pPr>
          </w:p>
          <w:p w:rsidR="00BE7FAA" w:rsidRDefault="002F3AEA">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BE7FAA" w:rsidRDefault="00BE7FAA">
            <w:pPr>
              <w:spacing w:line="280" w:lineRule="atLeast"/>
              <w:ind w:left="4200" w:firstLineChars="600" w:firstLine="1080"/>
              <w:jc w:val="left"/>
              <w:rPr>
                <w:rFonts w:ascii="宋体" w:hAnsi="宋体" w:cs="Arial"/>
                <w:kern w:val="0"/>
                <w:sz w:val="18"/>
                <w:szCs w:val="18"/>
              </w:rPr>
            </w:pPr>
          </w:p>
          <w:p w:rsidR="00BE7FAA" w:rsidRDefault="002F3AEA">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BE7FAA" w:rsidRDefault="00BE7FAA">
            <w:pPr>
              <w:spacing w:line="280" w:lineRule="atLeast"/>
              <w:rPr>
                <w:kern w:val="0"/>
                <w:sz w:val="20"/>
                <w:szCs w:val="20"/>
              </w:rPr>
            </w:pPr>
          </w:p>
          <w:p w:rsidR="00BE7FAA" w:rsidRDefault="002F3AEA">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BE7FAA" w:rsidRDefault="00BE7FAA"/>
    <w:sectPr w:rsidR="00BE7FAA">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77" w:rsidRDefault="00F70A77">
      <w:r>
        <w:separator/>
      </w:r>
    </w:p>
  </w:endnote>
  <w:endnote w:type="continuationSeparator" w:id="0">
    <w:p w:rsidR="00F70A77" w:rsidRDefault="00F7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1253"/>
    </w:sdtPr>
    <w:sdtEndPr/>
    <w:sdtContent>
      <w:p w:rsidR="00BE7FAA" w:rsidRDefault="002F3AEA">
        <w:pPr>
          <w:pStyle w:val="a5"/>
          <w:jc w:val="center"/>
        </w:pPr>
        <w:r>
          <w:fldChar w:fldCharType="begin"/>
        </w:r>
        <w:r>
          <w:instrText>PAGE   \* MERGEFORMAT</w:instrText>
        </w:r>
        <w:r>
          <w:fldChar w:fldCharType="separate"/>
        </w:r>
        <w:r w:rsidR="00FD0236" w:rsidRPr="00FD0236">
          <w:rPr>
            <w:noProof/>
            <w:lang w:val="zh-CN"/>
          </w:rPr>
          <w:t>1</w:t>
        </w:r>
        <w:r>
          <w:fldChar w:fldCharType="end"/>
        </w:r>
      </w:p>
    </w:sdtContent>
  </w:sdt>
  <w:p w:rsidR="00BE7FAA" w:rsidRDefault="00BE7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77" w:rsidRDefault="00F70A77">
      <w:r>
        <w:separator/>
      </w:r>
    </w:p>
  </w:footnote>
  <w:footnote w:type="continuationSeparator" w:id="0">
    <w:p w:rsidR="00F70A77" w:rsidRDefault="00F7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AA" w:rsidRDefault="002F3AEA">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风险揭示书</w:t>
    </w:r>
  </w:p>
  <w:p w:rsidR="00BE7FAA" w:rsidRDefault="002F3AEA">
    <w:pPr>
      <w:pStyle w:val="a6"/>
      <w:jc w:val="right"/>
      <w:rPr>
        <w:rFonts w:ascii="Times New Roman" w:eastAsia="宋体" w:hAnsi="Times New Roman" w:cs="Times New Roman"/>
        <w:b/>
        <w:szCs w:val="20"/>
      </w:rPr>
    </w:pPr>
    <w:r>
      <w:rPr>
        <w:rFonts w:ascii="Times New Roman" w:eastAsia="宋体" w:hAnsi="Times New Roman" w:cs="Times New Roman"/>
        <w:b/>
        <w:szCs w:val="20"/>
      </w:rPr>
      <w:t>注</w:t>
    </w:r>
    <w:r>
      <w:rPr>
        <w:rFonts w:ascii="Times New Roman" w:eastAsia="宋体" w:hAnsi="Times New Roman" w:cs="Times New Roman" w:hint="eastAsia"/>
        <w:b/>
        <w:szCs w:val="20"/>
      </w:rPr>
      <w:t>：</w:t>
    </w:r>
    <w:r>
      <w:rPr>
        <w:rFonts w:ascii="Times New Roman" w:eastAsia="宋体" w:hAnsi="Times New Roman" w:cs="Times New Roman"/>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enforcement="1" w:cryptProviderType="rsaAES" w:cryptAlgorithmClass="hash" w:cryptAlgorithmType="typeAny" w:cryptAlgorithmSid="14" w:cryptSpinCount="100000" w:hash="CFg1/56cfVa5U2faLtUNrMK71se8sljr2inmQQTYVbMxVfhpY8KHrOlTqnSy/KCcnZgiOCMyUOW1gnUU19wqxg==" w:salt="eZErbDTZWBC/n3NgsdmBww=="/>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563E8F"/>
    <w:rsid w:val="00000AF0"/>
    <w:rsid w:val="00041A7D"/>
    <w:rsid w:val="0007452F"/>
    <w:rsid w:val="000810B0"/>
    <w:rsid w:val="00096AC8"/>
    <w:rsid w:val="000A244A"/>
    <w:rsid w:val="000B16F1"/>
    <w:rsid w:val="000B357F"/>
    <w:rsid w:val="000C29F2"/>
    <w:rsid w:val="001104E8"/>
    <w:rsid w:val="00152999"/>
    <w:rsid w:val="00165803"/>
    <w:rsid w:val="00184099"/>
    <w:rsid w:val="001973AC"/>
    <w:rsid w:val="001B0D8C"/>
    <w:rsid w:val="00204FA5"/>
    <w:rsid w:val="00247D98"/>
    <w:rsid w:val="00262560"/>
    <w:rsid w:val="002B09E6"/>
    <w:rsid w:val="002B63FC"/>
    <w:rsid w:val="002C604E"/>
    <w:rsid w:val="002F0B15"/>
    <w:rsid w:val="002F1555"/>
    <w:rsid w:val="002F3AEA"/>
    <w:rsid w:val="0034386A"/>
    <w:rsid w:val="00346ED2"/>
    <w:rsid w:val="00374070"/>
    <w:rsid w:val="003E1A68"/>
    <w:rsid w:val="003E62FD"/>
    <w:rsid w:val="003F1C32"/>
    <w:rsid w:val="00420545"/>
    <w:rsid w:val="00420D74"/>
    <w:rsid w:val="00425540"/>
    <w:rsid w:val="004565CB"/>
    <w:rsid w:val="00462EFE"/>
    <w:rsid w:val="00466605"/>
    <w:rsid w:val="00467B46"/>
    <w:rsid w:val="004806C2"/>
    <w:rsid w:val="00480877"/>
    <w:rsid w:val="00485841"/>
    <w:rsid w:val="004B1D5C"/>
    <w:rsid w:val="004B5DD6"/>
    <w:rsid w:val="004C7F5E"/>
    <w:rsid w:val="004D121D"/>
    <w:rsid w:val="00503054"/>
    <w:rsid w:val="00527A03"/>
    <w:rsid w:val="00534346"/>
    <w:rsid w:val="00541B77"/>
    <w:rsid w:val="00563E8F"/>
    <w:rsid w:val="005669E6"/>
    <w:rsid w:val="00585375"/>
    <w:rsid w:val="00587FCA"/>
    <w:rsid w:val="005A63C8"/>
    <w:rsid w:val="005B431F"/>
    <w:rsid w:val="005C1E6C"/>
    <w:rsid w:val="005C6FCB"/>
    <w:rsid w:val="005F48BE"/>
    <w:rsid w:val="0063748B"/>
    <w:rsid w:val="006538E1"/>
    <w:rsid w:val="006C7A06"/>
    <w:rsid w:val="006D21BB"/>
    <w:rsid w:val="007303F6"/>
    <w:rsid w:val="00774066"/>
    <w:rsid w:val="00791677"/>
    <w:rsid w:val="007937D4"/>
    <w:rsid w:val="007B017F"/>
    <w:rsid w:val="007C7189"/>
    <w:rsid w:val="007D3800"/>
    <w:rsid w:val="007F16C3"/>
    <w:rsid w:val="007F7774"/>
    <w:rsid w:val="0080662E"/>
    <w:rsid w:val="00836C1F"/>
    <w:rsid w:val="00857569"/>
    <w:rsid w:val="00866C85"/>
    <w:rsid w:val="00866F5C"/>
    <w:rsid w:val="00871FCB"/>
    <w:rsid w:val="00876EF6"/>
    <w:rsid w:val="00894EE6"/>
    <w:rsid w:val="008A707D"/>
    <w:rsid w:val="008D3E86"/>
    <w:rsid w:val="008D6733"/>
    <w:rsid w:val="008F2B54"/>
    <w:rsid w:val="00904F53"/>
    <w:rsid w:val="00955293"/>
    <w:rsid w:val="0096566F"/>
    <w:rsid w:val="00981E5B"/>
    <w:rsid w:val="00996852"/>
    <w:rsid w:val="009B58EA"/>
    <w:rsid w:val="00A00AF5"/>
    <w:rsid w:val="00A32EC2"/>
    <w:rsid w:val="00A83DE9"/>
    <w:rsid w:val="00A95D0C"/>
    <w:rsid w:val="00AB1E9D"/>
    <w:rsid w:val="00AD678C"/>
    <w:rsid w:val="00AE5AA3"/>
    <w:rsid w:val="00B03943"/>
    <w:rsid w:val="00B06267"/>
    <w:rsid w:val="00B07DEF"/>
    <w:rsid w:val="00B35D81"/>
    <w:rsid w:val="00B3723D"/>
    <w:rsid w:val="00B53F51"/>
    <w:rsid w:val="00B547DB"/>
    <w:rsid w:val="00B744AE"/>
    <w:rsid w:val="00BA2CBD"/>
    <w:rsid w:val="00BA32B7"/>
    <w:rsid w:val="00BB513F"/>
    <w:rsid w:val="00BC1259"/>
    <w:rsid w:val="00BC398E"/>
    <w:rsid w:val="00BD22F1"/>
    <w:rsid w:val="00BE1A3A"/>
    <w:rsid w:val="00BE7FAA"/>
    <w:rsid w:val="00BF6030"/>
    <w:rsid w:val="00C01696"/>
    <w:rsid w:val="00C4233D"/>
    <w:rsid w:val="00C44FD8"/>
    <w:rsid w:val="00CC4F45"/>
    <w:rsid w:val="00D03CCD"/>
    <w:rsid w:val="00D12543"/>
    <w:rsid w:val="00D46533"/>
    <w:rsid w:val="00D83BD5"/>
    <w:rsid w:val="00D90ABA"/>
    <w:rsid w:val="00D91389"/>
    <w:rsid w:val="00DA2C69"/>
    <w:rsid w:val="00DC5611"/>
    <w:rsid w:val="00DD246D"/>
    <w:rsid w:val="00DD5ABC"/>
    <w:rsid w:val="00E27306"/>
    <w:rsid w:val="00E32DA9"/>
    <w:rsid w:val="00E504DE"/>
    <w:rsid w:val="00E80603"/>
    <w:rsid w:val="00EB34F9"/>
    <w:rsid w:val="00EE0296"/>
    <w:rsid w:val="00F2208D"/>
    <w:rsid w:val="00F34E57"/>
    <w:rsid w:val="00F57B20"/>
    <w:rsid w:val="00F631D9"/>
    <w:rsid w:val="00F70A77"/>
    <w:rsid w:val="00F8077D"/>
    <w:rsid w:val="00F855B5"/>
    <w:rsid w:val="00FB57E5"/>
    <w:rsid w:val="00FD0236"/>
    <w:rsid w:val="00FF75B3"/>
    <w:rsid w:val="01540E14"/>
    <w:rsid w:val="093C4710"/>
    <w:rsid w:val="17992DFC"/>
    <w:rsid w:val="23024B39"/>
    <w:rsid w:val="4EEE53D9"/>
    <w:rsid w:val="601969DF"/>
    <w:rsid w:val="655B054D"/>
    <w:rsid w:val="659C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26E94B-8E91-44CB-88C3-7A5595C5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qFormat/>
    <w:pPr>
      <w:ind w:firstLineChars="200" w:firstLine="420"/>
    </w:pPr>
  </w:style>
  <w:style w:type="character" w:customStyle="1" w:styleId="Char">
    <w:name w:val="批注文字 Char"/>
    <w:basedOn w:val="a0"/>
    <w:link w:val="a3"/>
    <w:uiPriority w:val="99"/>
    <w:qFormat/>
    <w:rPr>
      <w:rFonts w:ascii="Calibri" w:eastAsia="宋体" w:hAnsi="Calibri" w:cs="宋体"/>
    </w:rPr>
  </w:style>
  <w:style w:type="character" w:customStyle="1" w:styleId="Char3">
    <w:name w:val="批注主题 Char"/>
    <w:basedOn w:val="Char"/>
    <w:link w:val="a7"/>
    <w:uiPriority w:val="99"/>
    <w:semiHidden/>
    <w:qFormat/>
    <w:rPr>
      <w:rFonts w:ascii="Calibri" w:eastAsia="宋体" w:hAnsi="Calibri" w:cs="宋体"/>
      <w:b/>
      <w:bCs/>
    </w:rPr>
  </w:style>
  <w:style w:type="character" w:customStyle="1" w:styleId="Char0">
    <w:name w:val="批注框文本 Char"/>
    <w:basedOn w:val="a0"/>
    <w:link w:val="a4"/>
    <w:uiPriority w:val="99"/>
    <w:semiHidden/>
    <w:qFormat/>
    <w:rPr>
      <w:rFonts w:ascii="Calibri" w:eastAsia="宋体" w:hAnsi="Calibri" w:cs="宋体"/>
      <w:sz w:val="18"/>
      <w:szCs w:val="18"/>
    </w:rPr>
  </w:style>
  <w:style w:type="character" w:styleId="ab">
    <w:name w:val="Strong"/>
    <w:basedOn w:val="a0"/>
    <w:uiPriority w:val="22"/>
    <w:qFormat/>
    <w:rsid w:val="002B0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820</Words>
  <Characters>4678</Characters>
  <Application>Microsoft Office Word</Application>
  <DocSecurity>8</DocSecurity>
  <Lines>38</Lines>
  <Paragraphs>10</Paragraphs>
  <ScaleCrop>false</ScaleCrop>
  <Company>神州网信技术有限公司</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俞嘉骏</cp:lastModifiedBy>
  <cp:revision>41</cp:revision>
  <dcterms:created xsi:type="dcterms:W3CDTF">2023-10-31T13:04:00Z</dcterms:created>
  <dcterms:modified xsi:type="dcterms:W3CDTF">2024-01-05T11:04:00Z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49928E94B90B4374B369EF2C00308363</vt:lpwstr>
  </property>
</Properties>
</file>