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4F" w:rsidRDefault="009E3C4F" w:rsidP="009E3C4F">
      <w:pPr>
        <w:spacing w:line="360" w:lineRule="auto"/>
        <w:jc w:val="center"/>
        <w:rPr>
          <w:rFonts w:ascii="黑体" w:eastAsia="黑体" w:hAnsi="黑体" w:cs="黑体"/>
          <w:b/>
          <w:bCs/>
          <w:color w:val="000000"/>
          <w:sz w:val="52"/>
          <w:szCs w:val="52"/>
        </w:rPr>
      </w:pPr>
    </w:p>
    <w:p w:rsidR="009E3C4F" w:rsidRDefault="009E3C4F" w:rsidP="009E3C4F">
      <w:pPr>
        <w:spacing w:line="360" w:lineRule="auto"/>
        <w:jc w:val="center"/>
        <w:rPr>
          <w:rFonts w:ascii="黑体" w:eastAsia="黑体" w:hAnsi="黑体" w:cs="黑体"/>
          <w:b/>
          <w:bCs/>
          <w:color w:val="000000"/>
          <w:sz w:val="52"/>
          <w:szCs w:val="52"/>
        </w:rPr>
      </w:pPr>
    </w:p>
    <w:p w:rsidR="009E3C4F" w:rsidRDefault="009E3C4F" w:rsidP="009E3C4F">
      <w:pPr>
        <w:spacing w:line="360" w:lineRule="auto"/>
        <w:jc w:val="center"/>
        <w:rPr>
          <w:rFonts w:ascii="黑体" w:eastAsia="黑体" w:hAnsi="黑体" w:cs="黑体"/>
          <w:b/>
          <w:bCs/>
          <w:color w:val="000000"/>
          <w:sz w:val="52"/>
          <w:szCs w:val="52"/>
        </w:rPr>
      </w:pPr>
      <w:r>
        <w:rPr>
          <w:rFonts w:ascii="黑体" w:eastAsia="黑体" w:hAnsi="黑体" w:cs="黑体" w:hint="eastAsia"/>
          <w:b/>
          <w:bCs/>
          <w:color w:val="000000"/>
          <w:sz w:val="52"/>
          <w:szCs w:val="52"/>
        </w:rPr>
        <w:t>浙江绍兴恒信农村商业银行</w:t>
      </w:r>
    </w:p>
    <w:p w:rsidR="009E3C4F" w:rsidRDefault="009E3C4F" w:rsidP="009E3C4F">
      <w:pPr>
        <w:spacing w:line="360" w:lineRule="auto"/>
        <w:jc w:val="center"/>
        <w:rPr>
          <w:rFonts w:ascii="黑体" w:eastAsia="黑体" w:hAnsi="黑体"/>
          <w:b/>
          <w:bCs/>
          <w:color w:val="000000"/>
          <w:sz w:val="52"/>
          <w:szCs w:val="52"/>
        </w:rPr>
      </w:pPr>
      <w:r>
        <w:rPr>
          <w:rFonts w:ascii="黑体" w:eastAsia="黑体" w:hAnsi="黑体" w:cs="黑体" w:hint="eastAsia"/>
          <w:b/>
          <w:bCs/>
          <w:color w:val="000000"/>
          <w:sz w:val="52"/>
          <w:szCs w:val="52"/>
        </w:rPr>
        <w:t>股份有限公司</w:t>
      </w:r>
    </w:p>
    <w:p w:rsidR="009E3C4F" w:rsidRDefault="009E3C4F" w:rsidP="009E3C4F">
      <w:pPr>
        <w:spacing w:line="360" w:lineRule="auto"/>
        <w:jc w:val="center"/>
        <w:rPr>
          <w:rFonts w:ascii="黑体" w:eastAsia="黑体" w:hAnsi="黑体"/>
          <w:b/>
          <w:bCs/>
          <w:color w:val="000000"/>
          <w:sz w:val="52"/>
          <w:szCs w:val="52"/>
        </w:rPr>
      </w:pPr>
    </w:p>
    <w:p w:rsidR="009E3C4F" w:rsidRDefault="009E3C4F" w:rsidP="009E3C4F">
      <w:pPr>
        <w:spacing w:line="360" w:lineRule="auto"/>
        <w:jc w:val="center"/>
        <w:rPr>
          <w:rFonts w:ascii="黑体" w:eastAsia="黑体" w:hAnsi="黑体" w:cs="黑体"/>
          <w:b/>
          <w:bCs/>
          <w:color w:val="000000"/>
          <w:sz w:val="52"/>
          <w:szCs w:val="52"/>
        </w:rPr>
      </w:pPr>
      <w:r>
        <w:rPr>
          <w:rFonts w:ascii="黑体" w:eastAsia="黑体" w:hAnsi="黑体" w:cs="黑体" w:hint="eastAsia"/>
          <w:b/>
          <w:bCs/>
          <w:color w:val="000000"/>
          <w:sz w:val="52"/>
          <w:szCs w:val="52"/>
        </w:rPr>
        <w:t>2022年度社会责任报告</w:t>
      </w:r>
    </w:p>
    <w:p w:rsidR="009E3C4F" w:rsidRDefault="009E3C4F" w:rsidP="009E3C4F">
      <w:pPr>
        <w:spacing w:line="360" w:lineRule="auto"/>
        <w:ind w:firstLine="570"/>
        <w:jc w:val="center"/>
        <w:rPr>
          <w:rFonts w:ascii="宋体"/>
          <w:color w:val="000000"/>
          <w:sz w:val="24"/>
          <w:szCs w:val="24"/>
          <w:highlight w:val="yellow"/>
        </w:rPr>
      </w:pPr>
    </w:p>
    <w:p w:rsidR="009E3C4F" w:rsidRDefault="009E3C4F" w:rsidP="009E3C4F">
      <w:pPr>
        <w:spacing w:line="360" w:lineRule="auto"/>
        <w:ind w:firstLine="570"/>
        <w:jc w:val="center"/>
        <w:rPr>
          <w:rFonts w:ascii="宋体"/>
          <w:color w:val="000000"/>
          <w:sz w:val="24"/>
          <w:szCs w:val="24"/>
          <w:highlight w:val="yellow"/>
        </w:rPr>
      </w:pPr>
    </w:p>
    <w:p w:rsidR="009E3C4F" w:rsidRDefault="009E3C4F" w:rsidP="009E3C4F">
      <w:pPr>
        <w:spacing w:line="360" w:lineRule="auto"/>
        <w:ind w:firstLine="570"/>
        <w:jc w:val="center"/>
        <w:rPr>
          <w:rFonts w:ascii="宋体"/>
          <w:color w:val="000000"/>
          <w:sz w:val="24"/>
          <w:szCs w:val="24"/>
          <w:highlight w:val="yellow"/>
        </w:rPr>
      </w:pPr>
    </w:p>
    <w:p w:rsidR="009E3C4F" w:rsidRDefault="009E3C4F" w:rsidP="009E3C4F">
      <w:pPr>
        <w:spacing w:line="360" w:lineRule="auto"/>
        <w:ind w:firstLine="570"/>
        <w:jc w:val="center"/>
        <w:rPr>
          <w:rFonts w:ascii="宋体"/>
          <w:color w:val="000000"/>
          <w:sz w:val="24"/>
          <w:szCs w:val="24"/>
          <w:highlight w:val="yellow"/>
        </w:rPr>
      </w:pPr>
    </w:p>
    <w:p w:rsidR="009E3C4F" w:rsidRDefault="009E3C4F" w:rsidP="009E3C4F">
      <w:pPr>
        <w:spacing w:line="360" w:lineRule="auto"/>
        <w:ind w:firstLine="570"/>
        <w:jc w:val="center"/>
        <w:rPr>
          <w:rFonts w:ascii="宋体"/>
          <w:color w:val="000000"/>
          <w:sz w:val="24"/>
          <w:szCs w:val="24"/>
          <w:highlight w:val="yellow"/>
        </w:rPr>
      </w:pPr>
    </w:p>
    <w:p w:rsidR="009E3C4F" w:rsidRDefault="009E3C4F" w:rsidP="009E3C4F">
      <w:pPr>
        <w:spacing w:line="360" w:lineRule="auto"/>
        <w:ind w:firstLine="570"/>
        <w:jc w:val="center"/>
        <w:rPr>
          <w:rFonts w:ascii="宋体"/>
          <w:color w:val="000000"/>
          <w:sz w:val="24"/>
          <w:szCs w:val="24"/>
          <w:highlight w:val="yellow"/>
        </w:rPr>
      </w:pPr>
    </w:p>
    <w:p w:rsidR="009E3C4F" w:rsidRDefault="009E3C4F" w:rsidP="009E3C4F">
      <w:pPr>
        <w:spacing w:line="360" w:lineRule="auto"/>
        <w:ind w:firstLine="570"/>
        <w:jc w:val="center"/>
        <w:rPr>
          <w:rFonts w:ascii="宋体"/>
          <w:color w:val="000000"/>
          <w:sz w:val="24"/>
          <w:szCs w:val="24"/>
          <w:highlight w:val="yellow"/>
        </w:rPr>
      </w:pPr>
    </w:p>
    <w:p w:rsidR="009E3C4F" w:rsidRDefault="009E3C4F" w:rsidP="009E3C4F">
      <w:pPr>
        <w:spacing w:line="360" w:lineRule="auto"/>
        <w:ind w:firstLine="570"/>
        <w:jc w:val="center"/>
        <w:rPr>
          <w:rFonts w:ascii="宋体"/>
          <w:color w:val="000000"/>
          <w:sz w:val="24"/>
          <w:szCs w:val="24"/>
          <w:highlight w:val="yellow"/>
        </w:rPr>
      </w:pPr>
    </w:p>
    <w:p w:rsidR="009E3C4F" w:rsidRDefault="009E3C4F" w:rsidP="009E3C4F">
      <w:pPr>
        <w:rPr>
          <w:rFonts w:ascii="仿宋_GB2312" w:eastAsia="仿宋_GB2312"/>
          <w:sz w:val="32"/>
          <w:szCs w:val="32"/>
        </w:rPr>
      </w:pPr>
    </w:p>
    <w:p w:rsidR="009E3C4F" w:rsidRDefault="009E3C4F" w:rsidP="009E3C4F">
      <w:pPr>
        <w:rPr>
          <w:rFonts w:ascii="仿宋_GB2312" w:eastAsia="仿宋_GB2312"/>
          <w:sz w:val="32"/>
          <w:szCs w:val="32"/>
        </w:rPr>
      </w:pPr>
    </w:p>
    <w:p w:rsidR="009E3C4F" w:rsidRDefault="009E3C4F" w:rsidP="009E3C4F">
      <w:pPr>
        <w:rPr>
          <w:rFonts w:ascii="仿宋_GB2312" w:eastAsia="仿宋_GB2312"/>
          <w:sz w:val="32"/>
          <w:szCs w:val="32"/>
        </w:rPr>
      </w:pPr>
    </w:p>
    <w:p w:rsidR="009E3C4F" w:rsidRDefault="009E3C4F" w:rsidP="009E3C4F">
      <w:pPr>
        <w:rPr>
          <w:rFonts w:ascii="仿宋_GB2312" w:eastAsia="仿宋_GB2312"/>
          <w:sz w:val="32"/>
          <w:szCs w:val="32"/>
        </w:rPr>
      </w:pPr>
    </w:p>
    <w:p w:rsidR="009E3C4F" w:rsidRDefault="009E3C4F" w:rsidP="009E3C4F">
      <w:pPr>
        <w:rPr>
          <w:rFonts w:ascii="仿宋_GB2312" w:eastAsia="仿宋_GB2312"/>
          <w:sz w:val="32"/>
          <w:szCs w:val="32"/>
        </w:rPr>
      </w:pPr>
    </w:p>
    <w:p w:rsidR="009E3C4F" w:rsidRDefault="009E3C4F" w:rsidP="009E3C4F">
      <w:pPr>
        <w:rPr>
          <w:rFonts w:ascii="仿宋_GB2312" w:eastAsia="仿宋_GB2312"/>
          <w:sz w:val="32"/>
          <w:szCs w:val="32"/>
        </w:rPr>
      </w:pPr>
    </w:p>
    <w:p w:rsidR="009E3C4F" w:rsidRDefault="009E3C4F" w:rsidP="009E3C4F">
      <w:pPr>
        <w:rPr>
          <w:rFonts w:ascii="仿宋_GB2312" w:eastAsia="仿宋_GB2312"/>
          <w:sz w:val="32"/>
          <w:szCs w:val="32"/>
        </w:rPr>
      </w:pPr>
    </w:p>
    <w:p w:rsidR="009E3C4F" w:rsidRPr="009E3C4F" w:rsidRDefault="009E3C4F" w:rsidP="009E3C4F">
      <w:pPr>
        <w:jc w:val="center"/>
        <w:rPr>
          <w:rFonts w:ascii="方正小标宋简体" w:eastAsia="方正小标宋简体"/>
          <w:sz w:val="44"/>
          <w:szCs w:val="32"/>
        </w:rPr>
      </w:pPr>
      <w:r w:rsidRPr="009E3C4F">
        <w:rPr>
          <w:rFonts w:ascii="方正小标宋简体" w:eastAsia="方正小标宋简体" w:hint="eastAsia"/>
          <w:sz w:val="44"/>
          <w:szCs w:val="32"/>
        </w:rPr>
        <w:lastRenderedPageBreak/>
        <w:t>报 告 说 明</w:t>
      </w:r>
    </w:p>
    <w:p w:rsidR="009E3C4F" w:rsidRDefault="009E3C4F" w:rsidP="009E3C4F">
      <w:pPr>
        <w:rPr>
          <w:rFonts w:ascii="黑体" w:eastAsia="黑体" w:hAnsi="黑体"/>
          <w:sz w:val="36"/>
          <w:szCs w:val="36"/>
        </w:rPr>
      </w:pPr>
    </w:p>
    <w:p w:rsidR="009E3C4F" w:rsidRPr="009E3C4F" w:rsidRDefault="009E3C4F" w:rsidP="009E3C4F">
      <w:pPr>
        <w:rPr>
          <w:rFonts w:ascii="黑体" w:eastAsia="黑体" w:hAnsi="黑体"/>
          <w:sz w:val="36"/>
          <w:szCs w:val="36"/>
        </w:rPr>
      </w:pPr>
      <w:r w:rsidRPr="009E3C4F">
        <w:rPr>
          <w:rFonts w:ascii="黑体" w:eastAsia="黑体" w:hAnsi="黑体"/>
          <w:sz w:val="36"/>
          <w:szCs w:val="36"/>
        </w:rPr>
        <w:t>报告范围</w:t>
      </w:r>
    </w:p>
    <w:p w:rsidR="009E3C4F" w:rsidRDefault="009E3C4F" w:rsidP="009E3C4F">
      <w:pPr>
        <w:ind w:firstLineChars="200" w:firstLine="480"/>
        <w:rPr>
          <w:rFonts w:ascii="宋体" w:hAnsi="宋体" w:cs="宋体"/>
          <w:color w:val="000000"/>
          <w:sz w:val="24"/>
          <w:szCs w:val="24"/>
        </w:rPr>
      </w:pPr>
      <w:r w:rsidRPr="009E3C4F">
        <w:rPr>
          <w:rFonts w:ascii="宋体" w:hAnsi="宋体" w:cs="宋体"/>
          <w:color w:val="000000"/>
          <w:sz w:val="24"/>
          <w:szCs w:val="24"/>
        </w:rPr>
        <w:t>报告时间范围：2022年1月1日至2022年12月31日，部分适当追溯以前年份。 报告发布周期：本报告为年度报告。 报告组织范围：本报告覆盖</w:t>
      </w:r>
      <w:r>
        <w:rPr>
          <w:rFonts w:ascii="宋体" w:hAnsi="宋体" w:cs="宋体" w:hint="eastAsia"/>
          <w:color w:val="000000"/>
          <w:sz w:val="24"/>
          <w:szCs w:val="24"/>
        </w:rPr>
        <w:t>恒</w:t>
      </w:r>
      <w:r>
        <w:rPr>
          <w:rFonts w:ascii="宋体" w:hAnsi="宋体" w:cs="宋体"/>
          <w:color w:val="000000"/>
          <w:sz w:val="24"/>
          <w:szCs w:val="24"/>
        </w:rPr>
        <w:t>信</w:t>
      </w:r>
      <w:r w:rsidRPr="009E3C4F">
        <w:rPr>
          <w:rFonts w:ascii="宋体" w:hAnsi="宋体" w:cs="宋体"/>
          <w:color w:val="000000"/>
          <w:sz w:val="24"/>
          <w:szCs w:val="24"/>
        </w:rPr>
        <w:t xml:space="preserve">农商银行及各支行（营业部）。 </w:t>
      </w:r>
    </w:p>
    <w:p w:rsidR="009E3C4F" w:rsidRPr="009E3C4F" w:rsidRDefault="009E3C4F" w:rsidP="009E3C4F">
      <w:pPr>
        <w:ind w:firstLineChars="200" w:firstLine="480"/>
        <w:rPr>
          <w:rFonts w:ascii="宋体" w:hAnsi="宋体" w:cs="宋体"/>
          <w:color w:val="000000"/>
          <w:sz w:val="24"/>
          <w:szCs w:val="24"/>
        </w:rPr>
      </w:pPr>
    </w:p>
    <w:p w:rsidR="009E3C4F" w:rsidRPr="009E3C4F" w:rsidRDefault="009E3C4F" w:rsidP="009E3C4F">
      <w:pPr>
        <w:rPr>
          <w:rFonts w:ascii="黑体" w:eastAsia="黑体" w:hAnsi="黑体"/>
          <w:sz w:val="36"/>
          <w:szCs w:val="36"/>
        </w:rPr>
      </w:pPr>
      <w:r w:rsidRPr="009E3C4F">
        <w:rPr>
          <w:rFonts w:ascii="黑体" w:eastAsia="黑体" w:hAnsi="黑体"/>
          <w:sz w:val="36"/>
          <w:szCs w:val="36"/>
        </w:rPr>
        <w:t xml:space="preserve">参照标准 </w:t>
      </w:r>
    </w:p>
    <w:p w:rsidR="009E3C4F" w:rsidRDefault="009E3C4F" w:rsidP="009E3C4F">
      <w:pPr>
        <w:spacing w:line="480" w:lineRule="exact"/>
        <w:ind w:firstLineChars="200" w:firstLine="480"/>
        <w:rPr>
          <w:rFonts w:ascii="宋体" w:hAnsi="宋体" w:cs="宋体"/>
          <w:color w:val="000000"/>
          <w:sz w:val="24"/>
          <w:szCs w:val="24"/>
        </w:rPr>
      </w:pPr>
      <w:r w:rsidRPr="009E3C4F">
        <w:rPr>
          <w:rFonts w:ascii="宋体" w:hAnsi="宋体" w:cs="宋体"/>
          <w:color w:val="000000"/>
          <w:sz w:val="24"/>
          <w:szCs w:val="24"/>
        </w:rPr>
        <w:t>本报告参照《全球报告倡议组织（GRI）可持续发展报告指南》（2006 版）及金融服务业行业补充指南等标准要求编写，同时符合中国银</w:t>
      </w:r>
      <w:r w:rsidR="007D4766">
        <w:rPr>
          <w:rFonts w:ascii="宋体" w:hAnsi="宋体" w:cs="宋体"/>
          <w:color w:val="000000"/>
          <w:sz w:val="24"/>
          <w:szCs w:val="24"/>
        </w:rPr>
        <w:t>保</w:t>
      </w:r>
      <w:r w:rsidRPr="009E3C4F">
        <w:rPr>
          <w:rFonts w:ascii="宋体" w:hAnsi="宋体" w:cs="宋体"/>
          <w:color w:val="000000"/>
          <w:sz w:val="24"/>
          <w:szCs w:val="24"/>
        </w:rPr>
        <w:t xml:space="preserve">监会《关于加强银行业金融机构社会责任的意见》、中国银行业协会《中国银 行业金融机构企业社会责任指引》及《公司履行社会责任的报告》编制指引要求。 </w:t>
      </w:r>
    </w:p>
    <w:p w:rsidR="009E3C4F" w:rsidRPr="009E3C4F" w:rsidRDefault="009E3C4F" w:rsidP="009E3C4F">
      <w:pPr>
        <w:spacing w:line="480" w:lineRule="exact"/>
        <w:ind w:firstLineChars="200" w:firstLine="480"/>
        <w:rPr>
          <w:rFonts w:ascii="宋体" w:hAnsi="宋体" w:cs="宋体"/>
          <w:color w:val="000000"/>
          <w:sz w:val="24"/>
          <w:szCs w:val="24"/>
        </w:rPr>
      </w:pPr>
    </w:p>
    <w:p w:rsidR="009E3C4F" w:rsidRPr="009E3C4F" w:rsidRDefault="009E3C4F" w:rsidP="009E3C4F">
      <w:pPr>
        <w:rPr>
          <w:rFonts w:ascii="黑体" w:eastAsia="黑体" w:hAnsi="黑体"/>
          <w:sz w:val="36"/>
          <w:szCs w:val="36"/>
        </w:rPr>
      </w:pPr>
      <w:r w:rsidRPr="009E3C4F">
        <w:rPr>
          <w:rFonts w:ascii="黑体" w:eastAsia="黑体" w:hAnsi="黑体"/>
          <w:sz w:val="36"/>
          <w:szCs w:val="36"/>
        </w:rPr>
        <w:t>数据说明</w:t>
      </w:r>
    </w:p>
    <w:p w:rsidR="009E3C4F" w:rsidRDefault="009E3C4F" w:rsidP="009E3C4F">
      <w:pPr>
        <w:spacing w:line="480" w:lineRule="exact"/>
        <w:ind w:firstLineChars="200" w:firstLine="480"/>
        <w:rPr>
          <w:rFonts w:ascii="宋体" w:hAnsi="宋体" w:cs="宋体"/>
          <w:color w:val="000000"/>
          <w:sz w:val="24"/>
          <w:szCs w:val="24"/>
        </w:rPr>
      </w:pPr>
      <w:r w:rsidRPr="009E3C4F">
        <w:rPr>
          <w:rFonts w:ascii="宋体" w:hAnsi="宋体" w:cs="宋体"/>
          <w:color w:val="000000"/>
          <w:sz w:val="24"/>
          <w:szCs w:val="24"/>
        </w:rPr>
        <w:t xml:space="preserve">报告中的数据主要来源于本行内部系统数据。本报告所涉及货币金额以人民币作为计量币种，特别说明除外。 </w:t>
      </w:r>
    </w:p>
    <w:p w:rsidR="009E3C4F" w:rsidRPr="009E3C4F" w:rsidRDefault="009E3C4F" w:rsidP="009E3C4F">
      <w:pPr>
        <w:spacing w:line="480" w:lineRule="exact"/>
        <w:ind w:firstLineChars="200" w:firstLine="480"/>
        <w:rPr>
          <w:rFonts w:ascii="宋体" w:hAnsi="宋体" w:cs="宋体"/>
          <w:color w:val="000000"/>
          <w:sz w:val="24"/>
          <w:szCs w:val="24"/>
        </w:rPr>
      </w:pPr>
    </w:p>
    <w:p w:rsidR="009E3C4F" w:rsidRPr="009E3C4F" w:rsidRDefault="009E3C4F" w:rsidP="009E3C4F">
      <w:pPr>
        <w:rPr>
          <w:rFonts w:ascii="黑体" w:eastAsia="黑体" w:hAnsi="黑体"/>
          <w:sz w:val="36"/>
          <w:szCs w:val="36"/>
        </w:rPr>
      </w:pPr>
      <w:r w:rsidRPr="009E3C4F">
        <w:rPr>
          <w:rFonts w:ascii="黑体" w:eastAsia="黑体" w:hAnsi="黑体"/>
          <w:sz w:val="36"/>
          <w:szCs w:val="36"/>
        </w:rPr>
        <w:t>发布形式</w:t>
      </w:r>
    </w:p>
    <w:p w:rsidR="009E3C4F" w:rsidRDefault="009E3C4F" w:rsidP="009E3C4F">
      <w:pPr>
        <w:spacing w:line="480" w:lineRule="exact"/>
        <w:ind w:firstLineChars="200" w:firstLine="480"/>
        <w:rPr>
          <w:rFonts w:ascii="宋体" w:hAnsi="宋体" w:cs="宋体"/>
          <w:color w:val="000000"/>
          <w:sz w:val="24"/>
          <w:szCs w:val="24"/>
        </w:rPr>
      </w:pPr>
      <w:r w:rsidRPr="009E3C4F">
        <w:rPr>
          <w:rFonts w:ascii="宋体" w:hAnsi="宋体" w:cs="宋体"/>
          <w:color w:val="000000"/>
          <w:sz w:val="24"/>
          <w:szCs w:val="24"/>
        </w:rPr>
        <w:t xml:space="preserve">本报告以电子版形式发布，电子版可在本行网站查阅。 </w:t>
      </w:r>
    </w:p>
    <w:p w:rsidR="009E3C4F" w:rsidRPr="009E3C4F" w:rsidRDefault="009E3C4F" w:rsidP="009E3C4F">
      <w:pPr>
        <w:spacing w:line="480" w:lineRule="exact"/>
        <w:ind w:firstLineChars="200" w:firstLine="480"/>
        <w:rPr>
          <w:rFonts w:ascii="宋体" w:hAnsi="宋体" w:cs="宋体"/>
          <w:color w:val="000000"/>
          <w:sz w:val="24"/>
          <w:szCs w:val="24"/>
        </w:rPr>
      </w:pPr>
    </w:p>
    <w:p w:rsidR="009E3C4F" w:rsidRPr="009E3C4F" w:rsidRDefault="009E3C4F" w:rsidP="009E3C4F">
      <w:pPr>
        <w:rPr>
          <w:rFonts w:ascii="黑体" w:eastAsia="黑体" w:hAnsi="黑体"/>
          <w:sz w:val="36"/>
          <w:szCs w:val="36"/>
        </w:rPr>
      </w:pPr>
      <w:r w:rsidRPr="009E3C4F">
        <w:rPr>
          <w:rFonts w:ascii="黑体" w:eastAsia="黑体" w:hAnsi="黑体"/>
          <w:sz w:val="36"/>
          <w:szCs w:val="36"/>
        </w:rPr>
        <w:t>联系方式</w:t>
      </w:r>
    </w:p>
    <w:p w:rsidR="009E3C4F" w:rsidRPr="009E3C4F" w:rsidRDefault="009E3C4F" w:rsidP="009E3C4F">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联系地址：浙江省绍兴市中兴中路</w:t>
      </w:r>
      <w:r>
        <w:rPr>
          <w:rFonts w:ascii="宋体" w:hAnsi="宋体" w:cs="宋体"/>
          <w:color w:val="000000"/>
          <w:sz w:val="24"/>
          <w:szCs w:val="24"/>
        </w:rPr>
        <w:t>159</w:t>
      </w:r>
      <w:r>
        <w:rPr>
          <w:rFonts w:ascii="宋体" w:hAnsi="宋体" w:cs="宋体" w:hint="eastAsia"/>
          <w:color w:val="000000"/>
          <w:sz w:val="24"/>
          <w:szCs w:val="24"/>
        </w:rPr>
        <w:t>号</w:t>
      </w:r>
    </w:p>
    <w:p w:rsidR="009E3C4F" w:rsidRPr="009E3C4F" w:rsidRDefault="009E3C4F" w:rsidP="009E3C4F">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color w:val="000000"/>
          <w:sz w:val="24"/>
          <w:szCs w:val="24"/>
        </w:rPr>
        <w:t>0575-85</w:t>
      </w:r>
      <w:r>
        <w:rPr>
          <w:rFonts w:ascii="宋体" w:hAnsi="宋体" w:cs="宋体" w:hint="eastAsia"/>
          <w:color w:val="000000"/>
          <w:sz w:val="24"/>
          <w:szCs w:val="24"/>
        </w:rPr>
        <w:t>091532</w:t>
      </w:r>
    </w:p>
    <w:p w:rsidR="009E3C4F" w:rsidRPr="009E3C4F" w:rsidRDefault="009E3C4F" w:rsidP="009E3C4F">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传真：</w:t>
      </w:r>
      <w:r>
        <w:rPr>
          <w:rFonts w:ascii="宋体" w:hAnsi="宋体" w:cs="宋体"/>
          <w:color w:val="000000"/>
          <w:sz w:val="24"/>
          <w:szCs w:val="24"/>
        </w:rPr>
        <w:t>0575-85111415</w:t>
      </w:r>
    </w:p>
    <w:p w:rsidR="009E3C4F" w:rsidRDefault="009E3C4F" w:rsidP="009E3C4F">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电子信箱：hxbgs@zjrcu.com</w:t>
      </w:r>
    </w:p>
    <w:p w:rsidR="009E3C4F" w:rsidRDefault="009E3C4F" w:rsidP="009E3C4F">
      <w:pPr>
        <w:spacing w:line="480" w:lineRule="exact"/>
        <w:ind w:firstLineChars="200" w:firstLine="480"/>
        <w:rPr>
          <w:rFonts w:hint="eastAsia"/>
        </w:rPr>
      </w:pPr>
      <w:r>
        <w:rPr>
          <w:rFonts w:ascii="宋体" w:hAnsi="宋体" w:cs="宋体" w:hint="eastAsia"/>
          <w:color w:val="000000"/>
          <w:sz w:val="24"/>
          <w:szCs w:val="24"/>
        </w:rPr>
        <w:t>本行网址：</w:t>
      </w:r>
      <w:hyperlink r:id="rId6" w:history="1">
        <w:r w:rsidRPr="00D9260D">
          <w:rPr>
            <w:rStyle w:val="a3"/>
            <w:rFonts w:ascii="宋体" w:hAnsi="宋体" w:cs="宋体"/>
            <w:sz w:val="24"/>
            <w:szCs w:val="24"/>
          </w:rPr>
          <w:t>www.sxhxbank.com</w:t>
        </w:r>
      </w:hyperlink>
    </w:p>
    <w:p w:rsidR="004177D2" w:rsidRDefault="004177D2" w:rsidP="004177D2">
      <w:pPr>
        <w:spacing w:line="480" w:lineRule="exact"/>
        <w:ind w:firstLineChars="200" w:firstLine="480"/>
        <w:rPr>
          <w:rFonts w:ascii="宋体" w:hAnsi="宋体" w:cs="宋体"/>
          <w:color w:val="000000"/>
          <w:sz w:val="24"/>
          <w:szCs w:val="24"/>
        </w:rPr>
      </w:pPr>
    </w:p>
    <w:p w:rsidR="009E3C4F" w:rsidRPr="008505B9" w:rsidRDefault="009E3C4F" w:rsidP="008505B9">
      <w:pPr>
        <w:spacing w:line="480" w:lineRule="exact"/>
        <w:jc w:val="center"/>
        <w:rPr>
          <w:rFonts w:ascii="方正小标宋简体" w:eastAsia="方正小标宋简体"/>
          <w:sz w:val="36"/>
          <w:szCs w:val="32"/>
        </w:rPr>
      </w:pPr>
      <w:r w:rsidRPr="008505B9">
        <w:rPr>
          <w:rFonts w:ascii="方正小标宋简体" w:eastAsia="方正小标宋简体" w:hint="eastAsia"/>
          <w:sz w:val="36"/>
          <w:szCs w:val="32"/>
        </w:rPr>
        <w:lastRenderedPageBreak/>
        <w:t>第一节</w:t>
      </w:r>
      <w:r w:rsidR="008505B9" w:rsidRPr="008505B9">
        <w:rPr>
          <w:rFonts w:ascii="方正小标宋简体" w:eastAsia="方正小标宋简体" w:hint="eastAsia"/>
          <w:sz w:val="36"/>
          <w:szCs w:val="32"/>
        </w:rPr>
        <w:t xml:space="preserve">  关于本行</w:t>
      </w:r>
    </w:p>
    <w:p w:rsidR="008505B9" w:rsidRDefault="008505B9" w:rsidP="009E3C4F">
      <w:pPr>
        <w:spacing w:line="480" w:lineRule="exact"/>
        <w:ind w:firstLineChars="200" w:firstLine="640"/>
        <w:rPr>
          <w:rFonts w:ascii="仿宋_GB2312" w:eastAsia="仿宋_GB2312"/>
          <w:sz w:val="32"/>
          <w:szCs w:val="32"/>
        </w:rPr>
      </w:pPr>
    </w:p>
    <w:p w:rsidR="008505B9" w:rsidRPr="008505B9" w:rsidRDefault="008505B9" w:rsidP="009E3C4F">
      <w:pPr>
        <w:spacing w:line="480" w:lineRule="exact"/>
        <w:ind w:firstLineChars="200" w:firstLine="640"/>
        <w:rPr>
          <w:rFonts w:ascii="黑体" w:eastAsia="黑体" w:hAnsi="黑体" w:cs="Arial"/>
          <w:sz w:val="32"/>
          <w:szCs w:val="32"/>
        </w:rPr>
      </w:pPr>
      <w:r w:rsidRPr="008505B9">
        <w:rPr>
          <w:rFonts w:ascii="黑体" w:eastAsia="黑体" w:hAnsi="黑体" w:cs="Arial"/>
          <w:sz w:val="32"/>
          <w:szCs w:val="32"/>
        </w:rPr>
        <w:t>一、基本情况</w:t>
      </w:r>
    </w:p>
    <w:p w:rsidR="003F0A05" w:rsidRDefault="003F0A05" w:rsidP="003F0A05">
      <w:pPr>
        <w:overflowPunct w:val="0"/>
        <w:autoSpaceDE w:val="0"/>
        <w:autoSpaceDN w:val="0"/>
        <w:spacing w:line="560" w:lineRule="exact"/>
        <w:ind w:firstLineChars="200" w:firstLine="640"/>
        <w:rPr>
          <w:rFonts w:ascii="仿宋_GB2312" w:eastAsia="仿宋_GB2312"/>
          <w:sz w:val="32"/>
          <w:szCs w:val="32"/>
        </w:rPr>
      </w:pPr>
      <w:r w:rsidRPr="003F0A05">
        <w:rPr>
          <w:rFonts w:ascii="仿宋_GB2312" w:eastAsia="仿宋_GB2312" w:hint="eastAsia"/>
          <w:sz w:val="32"/>
          <w:szCs w:val="32"/>
        </w:rPr>
        <w:t>恒信农商银行始建于1994年12月，历经三次重大体制改革，2005年1月6日由绍兴市越城农村信合社联合社改制成绍兴市区农村信用合作联社，2008年6月2日改制成立绍兴恒信合作银行，2019年9月30日改制成立恒信农商银行。</w:t>
      </w:r>
      <w:r w:rsidRPr="008505B9">
        <w:rPr>
          <w:rFonts w:ascii="仿宋_GB2312" w:eastAsia="仿宋_GB2312" w:hint="eastAsia"/>
          <w:sz w:val="32"/>
          <w:szCs w:val="32"/>
        </w:rPr>
        <w:t>全辖共有营业网点36家，深入到各街道（社区）、镇，为客户提供便捷的金融服务。</w:t>
      </w:r>
    </w:p>
    <w:p w:rsidR="003F0A05" w:rsidRDefault="003F0A05" w:rsidP="003F0A05">
      <w:pPr>
        <w:overflowPunct w:val="0"/>
        <w:autoSpaceDE w:val="0"/>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在多年的发展历程中，恒信农商银行始终坚持以服务“三农”发展、支持越城区经济为己任，创新金融产品，完善服务功能，实施以人为核心的全方位普惠金融。作为“越城区人民自己的银行”，恒信农商银行坚持“往深处走、往细处抓、往实处干”工作理念，致力于打造“做业务最实、与民企最亲、离百姓最近”的一流社区银行。</w:t>
      </w:r>
    </w:p>
    <w:p w:rsidR="0064359F" w:rsidRDefault="003F0A05" w:rsidP="0064359F">
      <w:pPr>
        <w:overflowPunct w:val="0"/>
        <w:autoSpaceDE w:val="0"/>
        <w:autoSpaceDN w:val="0"/>
        <w:spacing w:line="560" w:lineRule="exact"/>
        <w:ind w:firstLineChars="200" w:firstLine="640"/>
        <w:rPr>
          <w:rFonts w:ascii="仿宋_GB2312" w:eastAsia="仿宋_GB2312"/>
          <w:sz w:val="32"/>
          <w:szCs w:val="32"/>
        </w:rPr>
      </w:pPr>
      <w:r w:rsidRPr="003F0A05">
        <w:rPr>
          <w:rFonts w:ascii="仿宋_GB2312" w:eastAsia="仿宋_GB2312" w:hint="eastAsia"/>
          <w:sz w:val="32"/>
          <w:szCs w:val="32"/>
        </w:rPr>
        <w:t>截至2022年末，本行资产总额399.07亿元，较上年增加95.38亿元，增幅31.41%。各项存款余额350.31亿元，较上年增加85.49亿元，增幅32.28%；各项贷款余额264.69亿元，较上年增加42.94亿元，增幅19.37%。</w:t>
      </w:r>
      <w:r w:rsidR="0064359F">
        <w:rPr>
          <w:rFonts w:ascii="仿宋_GB2312" w:eastAsia="仿宋_GB2312" w:hint="eastAsia"/>
          <w:sz w:val="32"/>
          <w:szCs w:val="32"/>
        </w:rPr>
        <w:t>获得浙江农商银行系统“业务成长十佳银行”荣誉称号、</w:t>
      </w:r>
      <w:r w:rsidRPr="003F0A05">
        <w:rPr>
          <w:rFonts w:ascii="仿宋_GB2312" w:eastAsia="仿宋_GB2312" w:hint="eastAsia"/>
          <w:sz w:val="32"/>
          <w:szCs w:val="32"/>
        </w:rPr>
        <w:t>2022年度浙江农商银行系统“考核一级单位”</w:t>
      </w:r>
      <w:r w:rsidR="0064359F">
        <w:rPr>
          <w:rFonts w:ascii="仿宋_GB2312" w:eastAsia="仿宋_GB2312" w:hAnsi="仿宋" w:hint="eastAsia"/>
          <w:sz w:val="32"/>
          <w:szCs w:val="32"/>
        </w:rPr>
        <w:t>、</w:t>
      </w:r>
      <w:r w:rsidR="0064359F" w:rsidRPr="009F4474">
        <w:rPr>
          <w:rFonts w:ascii="仿宋_GB2312" w:eastAsia="仿宋_GB2312" w:hAnsi="仿宋" w:hint="eastAsia"/>
          <w:sz w:val="32"/>
          <w:szCs w:val="32"/>
        </w:rPr>
        <w:t>绍兴市工作目标责任制考核优秀单位</w:t>
      </w:r>
      <w:r w:rsidR="0064359F">
        <w:rPr>
          <w:rFonts w:ascii="仿宋_GB2312" w:eastAsia="仿宋_GB2312" w:hAnsi="仿宋" w:hint="eastAsia"/>
          <w:sz w:val="32"/>
          <w:szCs w:val="32"/>
        </w:rPr>
        <w:t>、</w:t>
      </w:r>
      <w:r w:rsidR="0064359F" w:rsidRPr="009F4474">
        <w:rPr>
          <w:rFonts w:ascii="仿宋_GB2312" w:eastAsia="仿宋_GB2312" w:hAnsi="仿宋" w:hint="eastAsia"/>
          <w:sz w:val="32"/>
          <w:szCs w:val="32"/>
        </w:rPr>
        <w:t>绍兴市服务“三农”发展先进集体奖、越城区2022年度高质量发展共同富裕突出贡献集体等荣誉</w:t>
      </w:r>
      <w:r w:rsidRPr="003F0A05">
        <w:rPr>
          <w:rFonts w:ascii="仿宋_GB2312" w:eastAsia="仿宋_GB2312" w:hint="eastAsia"/>
          <w:sz w:val="32"/>
          <w:szCs w:val="32"/>
        </w:rPr>
        <w:t>。</w:t>
      </w:r>
    </w:p>
    <w:p w:rsidR="0064359F" w:rsidRDefault="0064359F" w:rsidP="0064359F">
      <w:pPr>
        <w:overflowPunct w:val="0"/>
        <w:autoSpaceDE w:val="0"/>
        <w:autoSpaceDN w:val="0"/>
        <w:spacing w:line="560" w:lineRule="exact"/>
        <w:ind w:firstLineChars="200" w:firstLine="640"/>
        <w:rPr>
          <w:rFonts w:ascii="黑体" w:eastAsia="黑体" w:hAnsi="黑体"/>
          <w:sz w:val="32"/>
          <w:szCs w:val="32"/>
        </w:rPr>
      </w:pPr>
    </w:p>
    <w:p w:rsidR="0064359F" w:rsidRPr="0064359F" w:rsidRDefault="0064359F" w:rsidP="008505B9">
      <w:pPr>
        <w:spacing w:line="480" w:lineRule="exact"/>
        <w:ind w:firstLineChars="200" w:firstLine="640"/>
        <w:rPr>
          <w:rFonts w:ascii="黑体" w:eastAsia="黑体" w:hAnsi="黑体"/>
          <w:sz w:val="32"/>
          <w:szCs w:val="32"/>
        </w:rPr>
      </w:pPr>
    </w:p>
    <w:p w:rsidR="008505B9" w:rsidRPr="008505B9" w:rsidRDefault="008505B9" w:rsidP="008505B9">
      <w:pPr>
        <w:spacing w:line="480" w:lineRule="exact"/>
        <w:ind w:firstLineChars="200" w:firstLine="640"/>
        <w:rPr>
          <w:rFonts w:ascii="黑体" w:eastAsia="黑体" w:hAnsi="黑体"/>
          <w:sz w:val="32"/>
          <w:szCs w:val="32"/>
        </w:rPr>
      </w:pPr>
      <w:r w:rsidRPr="008505B9">
        <w:rPr>
          <w:rFonts w:ascii="黑体" w:eastAsia="黑体" w:hAnsi="黑体" w:hint="eastAsia"/>
          <w:sz w:val="32"/>
          <w:szCs w:val="32"/>
        </w:rPr>
        <w:lastRenderedPageBreak/>
        <w:t>二、组织架构</w:t>
      </w:r>
    </w:p>
    <w:p w:rsidR="008505B9" w:rsidRDefault="005E4F9A" w:rsidP="009E3C4F">
      <w:pPr>
        <w:spacing w:line="4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4445</wp:posOffset>
            </wp:positionH>
            <wp:positionV relativeFrom="paragraph">
              <wp:posOffset>41910</wp:posOffset>
            </wp:positionV>
            <wp:extent cx="5262880" cy="8657590"/>
            <wp:effectExtent l="19050" t="0" r="0" b="0"/>
            <wp:wrapNone/>
            <wp:docPr id="1" name="图片 1" descr="C:\Users\lenovo\Desktop\2022增资扩股\大成律所尽职调查清单\第三部分发行人的基本情况\6.发行人的内部组织机构设置的详细说明，并请提供发行人现行有效的信息披露制度文件。\恒信农商银行组织架构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2022增资扩股\大成律所尽职调查清单\第三部分发行人的基本情况\6.发行人的内部组织机构设置的详细说明，并请提供发行人现行有效的信息披露制度文件。\恒信农商银行组织架构图.jpg"/>
                    <pic:cNvPicPr>
                      <a:picLocks noChangeAspect="1" noChangeArrowheads="1"/>
                    </pic:cNvPicPr>
                  </pic:nvPicPr>
                  <pic:blipFill>
                    <a:blip r:embed="rId7"/>
                    <a:srcRect/>
                    <a:stretch>
                      <a:fillRect/>
                    </a:stretch>
                  </pic:blipFill>
                  <pic:spPr bwMode="auto">
                    <a:xfrm>
                      <a:off x="0" y="0"/>
                      <a:ext cx="5262880" cy="8657590"/>
                    </a:xfrm>
                    <a:prstGeom prst="rect">
                      <a:avLst/>
                    </a:prstGeom>
                    <a:noFill/>
                    <a:ln w="9525">
                      <a:noFill/>
                      <a:miter lim="800000"/>
                      <a:headEnd/>
                      <a:tailEnd/>
                    </a:ln>
                  </pic:spPr>
                </pic:pic>
              </a:graphicData>
            </a:graphic>
          </wp:anchor>
        </w:drawing>
      </w:r>
    </w:p>
    <w:p w:rsidR="008505B9" w:rsidRPr="008505B9" w:rsidRDefault="008505B9" w:rsidP="009E3C4F">
      <w:pPr>
        <w:spacing w:line="480" w:lineRule="exact"/>
        <w:ind w:firstLineChars="200" w:firstLine="640"/>
        <w:rPr>
          <w:rFonts w:ascii="仿宋_GB2312" w:eastAsia="仿宋_GB2312"/>
          <w:sz w:val="32"/>
          <w:szCs w:val="32"/>
        </w:rPr>
      </w:pPr>
    </w:p>
    <w:p w:rsidR="008505B9" w:rsidRDefault="008505B9"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Default="003F0A05" w:rsidP="009E3C4F">
      <w:pPr>
        <w:spacing w:line="480" w:lineRule="exact"/>
        <w:ind w:firstLineChars="200" w:firstLine="640"/>
        <w:rPr>
          <w:rFonts w:ascii="仿宋_GB2312" w:eastAsia="仿宋_GB2312"/>
          <w:sz w:val="32"/>
          <w:szCs w:val="32"/>
        </w:rPr>
      </w:pPr>
    </w:p>
    <w:p w:rsidR="003F0A05" w:rsidRPr="0064359F" w:rsidRDefault="0064359F" w:rsidP="0064359F">
      <w:pPr>
        <w:spacing w:line="480" w:lineRule="exact"/>
        <w:jc w:val="center"/>
        <w:rPr>
          <w:rFonts w:ascii="方正小标宋简体" w:eastAsia="方正小标宋简体"/>
          <w:sz w:val="36"/>
          <w:szCs w:val="32"/>
        </w:rPr>
      </w:pPr>
      <w:r w:rsidRPr="0064359F">
        <w:rPr>
          <w:rFonts w:ascii="方正小标宋简体" w:eastAsia="方正小标宋简体" w:hint="eastAsia"/>
          <w:sz w:val="36"/>
          <w:szCs w:val="32"/>
        </w:rPr>
        <w:lastRenderedPageBreak/>
        <w:t>第二节 社会责任实践</w:t>
      </w:r>
    </w:p>
    <w:p w:rsidR="0064359F" w:rsidRDefault="0064359F" w:rsidP="009E3C4F">
      <w:pPr>
        <w:spacing w:line="480" w:lineRule="exact"/>
        <w:ind w:firstLineChars="200" w:firstLine="640"/>
        <w:rPr>
          <w:rFonts w:ascii="仿宋_GB2312" w:eastAsia="仿宋_GB2312"/>
          <w:sz w:val="32"/>
          <w:szCs w:val="32"/>
        </w:rPr>
      </w:pPr>
    </w:p>
    <w:p w:rsidR="0064359F" w:rsidRPr="0064359F" w:rsidRDefault="0064359F" w:rsidP="0064359F">
      <w:pPr>
        <w:spacing w:line="480" w:lineRule="exact"/>
        <w:ind w:firstLineChars="200" w:firstLine="640"/>
        <w:rPr>
          <w:rFonts w:ascii="黑体" w:eastAsia="黑体" w:hAnsi="黑体" w:cs="楷体_GB2312"/>
          <w:color w:val="000000"/>
          <w:sz w:val="32"/>
          <w:szCs w:val="32"/>
        </w:rPr>
      </w:pPr>
      <w:r w:rsidRPr="0064359F">
        <w:rPr>
          <w:rFonts w:ascii="黑体" w:eastAsia="黑体" w:hAnsi="黑体" w:cs="Arial"/>
          <w:sz w:val="32"/>
          <w:szCs w:val="32"/>
        </w:rPr>
        <w:t>一、</w:t>
      </w:r>
      <w:r w:rsidRPr="0064359F">
        <w:rPr>
          <w:rFonts w:ascii="黑体" w:eastAsia="黑体" w:hAnsi="黑体" w:cs="楷体_GB2312" w:hint="eastAsia"/>
          <w:color w:val="000000"/>
          <w:sz w:val="32"/>
          <w:szCs w:val="32"/>
        </w:rPr>
        <w:t>聚焦主责主业，服务经济社会发展</w:t>
      </w:r>
    </w:p>
    <w:p w:rsidR="0064359F" w:rsidRDefault="0064359F" w:rsidP="0064359F">
      <w:pPr>
        <w:spacing w:line="560" w:lineRule="exact"/>
        <w:ind w:firstLineChars="200" w:firstLine="640"/>
        <w:rPr>
          <w:rFonts w:ascii="仿宋_GB2312" w:eastAsia="仿宋_GB2312" w:hAnsi="Arial" w:cs="Arial"/>
          <w:color w:val="000000"/>
          <w:sz w:val="32"/>
          <w:szCs w:val="32"/>
        </w:rPr>
      </w:pPr>
      <w:r w:rsidRPr="0064359F">
        <w:rPr>
          <w:rFonts w:ascii="楷体_GB2312" w:eastAsia="楷体_GB2312" w:hAnsi="Arial" w:cs="Arial" w:hint="eastAsia"/>
          <w:color w:val="000000"/>
          <w:sz w:val="32"/>
          <w:szCs w:val="32"/>
        </w:rPr>
        <w:t>（一）加强重点领域金融供给。</w:t>
      </w:r>
      <w:r w:rsidRPr="009F4474">
        <w:rPr>
          <w:rFonts w:ascii="仿宋_GB2312" w:eastAsia="仿宋_GB2312" w:hAnsi="Arial" w:cs="Arial" w:hint="eastAsia"/>
          <w:color w:val="000000"/>
          <w:sz w:val="32"/>
          <w:szCs w:val="32"/>
        </w:rPr>
        <w:t>积极落实两项直达工具转换和接续政策，向人行申请支小再贷款10.5亿元，定向支持小微企业融资需求。实施“专精特新”企业培育发展行动，持续加大金融支持力度，发放“专精特新”企业贷款8399万元。继续开展首贷户拓展“春风行动”“春雨行动”“春潮行动”，加大首贷户拓展力度。截至12月末，新增首贷户600户，其中小微企业首贷户289户、个体工商户首贷户</w:t>
      </w:r>
      <w:r w:rsidRPr="009F4474">
        <w:rPr>
          <w:rFonts w:ascii="仿宋_GB2312" w:eastAsia="仿宋_GB2312" w:hAnsi="Arial" w:cs="Arial"/>
          <w:color w:val="000000"/>
          <w:sz w:val="32"/>
          <w:szCs w:val="32"/>
        </w:rPr>
        <w:t>3</w:t>
      </w:r>
      <w:r w:rsidRPr="009F4474">
        <w:rPr>
          <w:rFonts w:ascii="仿宋_GB2312" w:eastAsia="仿宋_GB2312" w:hAnsi="Arial" w:cs="Arial" w:hint="eastAsia"/>
          <w:color w:val="000000"/>
          <w:sz w:val="32"/>
          <w:szCs w:val="32"/>
        </w:rPr>
        <w:t>11户；普惠小微企业贷款余额</w:t>
      </w:r>
      <w:r w:rsidRPr="009F4474">
        <w:rPr>
          <w:rFonts w:ascii="仿宋_GB2312" w:eastAsia="仿宋_GB2312" w:hAnsi="Arial" w:cs="Arial"/>
          <w:color w:val="000000"/>
          <w:sz w:val="32"/>
          <w:szCs w:val="32"/>
        </w:rPr>
        <w:t>9</w:t>
      </w:r>
      <w:r w:rsidRPr="009F4474">
        <w:rPr>
          <w:rFonts w:ascii="仿宋_GB2312" w:eastAsia="仿宋_GB2312" w:hAnsi="Arial" w:cs="Arial" w:hint="eastAsia"/>
          <w:color w:val="000000"/>
          <w:sz w:val="32"/>
          <w:szCs w:val="32"/>
        </w:rPr>
        <w:t>1.04万元，比年初新增1</w:t>
      </w:r>
      <w:r w:rsidRPr="009F4474">
        <w:rPr>
          <w:rFonts w:ascii="仿宋_GB2312" w:eastAsia="仿宋_GB2312" w:hAnsi="Arial" w:cs="Arial"/>
          <w:color w:val="000000"/>
          <w:sz w:val="32"/>
          <w:szCs w:val="32"/>
        </w:rPr>
        <w:t>6.2</w:t>
      </w:r>
      <w:r w:rsidRPr="009F4474">
        <w:rPr>
          <w:rFonts w:ascii="仿宋_GB2312" w:eastAsia="仿宋_GB2312" w:hAnsi="Arial" w:cs="Arial" w:hint="eastAsia"/>
          <w:color w:val="000000"/>
          <w:sz w:val="32"/>
          <w:szCs w:val="32"/>
        </w:rPr>
        <w:t>7亿元，己超额完成“两增两控”目标。加强外贸企业融资支持，推出区块链秒贷、应付账款融资产品，深化关贸E贷产品推广，截至</w:t>
      </w:r>
      <w:r w:rsidRPr="009F4474">
        <w:rPr>
          <w:rFonts w:ascii="仿宋_GB2312" w:eastAsia="仿宋_GB2312" w:hAnsi="Arial" w:cs="Arial"/>
          <w:color w:val="000000"/>
          <w:sz w:val="32"/>
          <w:szCs w:val="32"/>
        </w:rPr>
        <w:t>12</w:t>
      </w:r>
      <w:r w:rsidRPr="009F4474">
        <w:rPr>
          <w:rFonts w:ascii="仿宋_GB2312" w:eastAsia="仿宋_GB2312" w:hAnsi="Arial" w:cs="Arial" w:hint="eastAsia"/>
          <w:color w:val="000000"/>
          <w:sz w:val="32"/>
          <w:szCs w:val="32"/>
        </w:rPr>
        <w:t>月末，发放美元贸易融资</w:t>
      </w:r>
      <w:r w:rsidRPr="009F4474">
        <w:rPr>
          <w:rFonts w:ascii="仿宋_GB2312" w:eastAsia="仿宋_GB2312" w:hAnsi="Arial" w:cs="Arial"/>
          <w:color w:val="000000"/>
          <w:sz w:val="32"/>
          <w:szCs w:val="32"/>
        </w:rPr>
        <w:t>1835</w:t>
      </w:r>
      <w:r w:rsidRPr="009F4474">
        <w:rPr>
          <w:rFonts w:ascii="仿宋_GB2312" w:eastAsia="仿宋_GB2312" w:hAnsi="Arial" w:cs="Arial" w:hint="eastAsia"/>
          <w:color w:val="000000"/>
          <w:sz w:val="32"/>
          <w:szCs w:val="32"/>
        </w:rPr>
        <w:t>万美元，于7月份正式获准开办远期结售汇业务，进一步提升了外贸企业服务能力。</w:t>
      </w:r>
    </w:p>
    <w:p w:rsidR="0064359F" w:rsidRDefault="0064359F" w:rsidP="0064359F">
      <w:pPr>
        <w:spacing w:line="560" w:lineRule="exact"/>
        <w:ind w:firstLineChars="200" w:firstLine="640"/>
        <w:rPr>
          <w:rFonts w:ascii="仿宋_GB2312" w:eastAsia="仿宋_GB2312" w:hAnsi="Arial" w:cs="Arial"/>
          <w:color w:val="000000"/>
          <w:sz w:val="32"/>
          <w:szCs w:val="32"/>
        </w:rPr>
      </w:pPr>
      <w:r w:rsidRPr="0064359F">
        <w:rPr>
          <w:rFonts w:ascii="楷体_GB2312" w:eastAsia="楷体_GB2312" w:hAnsi="Arial" w:cs="Arial" w:hint="eastAsia"/>
          <w:color w:val="000000"/>
          <w:sz w:val="32"/>
          <w:szCs w:val="32"/>
        </w:rPr>
        <w:t>（二）推进落实融资畅通工程。</w:t>
      </w:r>
      <w:r w:rsidRPr="009F4474">
        <w:rPr>
          <w:rFonts w:ascii="仿宋_GB2312" w:eastAsia="仿宋_GB2312" w:hAnsi="Arial" w:cs="Arial" w:hint="eastAsia"/>
          <w:color w:val="000000"/>
          <w:sz w:val="32"/>
          <w:szCs w:val="32"/>
        </w:rPr>
        <w:t>组织开展助企“开门红”活动，出台助企惠企十二条政策，专项助力企业复工复产。结合走千访万劳动竞赛、“三服务”活动、小微企业三年行动等，常态化开展小微企业“名单制”精准走访与营销，实现信贷供给与小微企业融资需求无缝对接。开展金融支持市场主体专项行动，推进闭环式走访与需求对接，实施在册市场主体精准服务。截至12月末，累计走访企业42154户，个体工商户64103家，完成金融支持市场主体走访率达104.92%。个体工商户贷款余额</w:t>
      </w:r>
      <w:r w:rsidRPr="009F4474">
        <w:rPr>
          <w:rFonts w:ascii="仿宋_GB2312" w:eastAsia="仿宋_GB2312" w:hAnsi="Arial" w:cs="Arial"/>
          <w:color w:val="000000"/>
          <w:sz w:val="32"/>
          <w:szCs w:val="32"/>
        </w:rPr>
        <w:t>2</w:t>
      </w:r>
      <w:r w:rsidRPr="009F4474">
        <w:rPr>
          <w:rFonts w:ascii="仿宋_GB2312" w:eastAsia="仿宋_GB2312" w:hAnsi="Arial" w:cs="Arial" w:hint="eastAsia"/>
          <w:color w:val="000000"/>
          <w:sz w:val="32"/>
          <w:szCs w:val="32"/>
        </w:rPr>
        <w:t>6.84亿元，较年初增加3.69</w:t>
      </w:r>
      <w:r w:rsidRPr="009F4474">
        <w:rPr>
          <w:rFonts w:ascii="仿宋_GB2312" w:eastAsia="仿宋_GB2312" w:hAnsi="Arial" w:cs="Arial" w:hint="eastAsia"/>
          <w:color w:val="000000"/>
          <w:sz w:val="32"/>
          <w:szCs w:val="32"/>
        </w:rPr>
        <w:lastRenderedPageBreak/>
        <w:t>亿元。</w:t>
      </w:r>
    </w:p>
    <w:p w:rsidR="0064359F" w:rsidRDefault="0064359F" w:rsidP="0064359F">
      <w:pPr>
        <w:spacing w:line="560" w:lineRule="exact"/>
        <w:ind w:firstLineChars="200" w:firstLine="640"/>
        <w:rPr>
          <w:rFonts w:ascii="仿宋_GB2312" w:eastAsia="仿宋_GB2312" w:hAnsi="Arial" w:cs="Arial"/>
          <w:color w:val="000000"/>
          <w:sz w:val="32"/>
          <w:szCs w:val="32"/>
        </w:rPr>
      </w:pPr>
      <w:r w:rsidRPr="0064359F">
        <w:rPr>
          <w:rFonts w:ascii="楷体_GB2312" w:eastAsia="楷体_GB2312" w:hAnsi="Arial" w:cs="Arial" w:hint="eastAsia"/>
          <w:color w:val="000000"/>
          <w:sz w:val="32"/>
          <w:szCs w:val="32"/>
        </w:rPr>
        <w:t>（三）深化多元合作助企模式。</w:t>
      </w:r>
      <w:r w:rsidRPr="009F4474">
        <w:rPr>
          <w:rFonts w:ascii="仿宋_GB2312" w:eastAsia="仿宋_GB2312" w:hAnsi="Arial" w:cs="Arial" w:hint="eastAsia"/>
          <w:color w:val="000000"/>
          <w:sz w:val="32"/>
          <w:szCs w:val="32"/>
        </w:rPr>
        <w:t>与越城区经济和信息化局签署战略合作协议，授信100亿元精准投向重点领域，充分发挥“产业政策+金融支持”的杠杆效应。进一步加强与各级融资担保公司合作，推广“总对总”批量担保及“双保”应急融资担保贷款，12月末融资性担保贷款余额27869.04万元，惠及小微企业134户。加强银商战略合作，以商会组织换届选举为契机开展现场授信，累计向皋埠商会、鉴湖商会、富盛商会及成员单位综合授信48亿元。</w:t>
      </w:r>
    </w:p>
    <w:p w:rsidR="0064359F" w:rsidRPr="0064359F" w:rsidRDefault="0064359F" w:rsidP="0064359F">
      <w:pPr>
        <w:spacing w:line="560" w:lineRule="exact"/>
        <w:ind w:firstLineChars="200" w:firstLine="640"/>
        <w:rPr>
          <w:rFonts w:ascii="黑体" w:eastAsia="黑体" w:hAnsi="黑体" w:cs="Arial"/>
          <w:color w:val="000000"/>
          <w:sz w:val="32"/>
          <w:szCs w:val="32"/>
        </w:rPr>
      </w:pPr>
      <w:r w:rsidRPr="0064359F">
        <w:rPr>
          <w:rFonts w:ascii="黑体" w:eastAsia="黑体" w:hAnsi="黑体" w:cs="Arial" w:hint="eastAsia"/>
          <w:color w:val="000000"/>
          <w:sz w:val="32"/>
          <w:szCs w:val="32"/>
        </w:rPr>
        <w:t>二、</w:t>
      </w:r>
      <w:r w:rsidR="00253C9C">
        <w:rPr>
          <w:rFonts w:ascii="黑体" w:eastAsia="黑体" w:hAnsi="黑体" w:cs="Arial" w:hint="eastAsia"/>
          <w:color w:val="000000"/>
          <w:sz w:val="32"/>
          <w:szCs w:val="32"/>
        </w:rPr>
        <w:t>坚守初心使命</w:t>
      </w:r>
      <w:r w:rsidRPr="0064359F">
        <w:rPr>
          <w:rFonts w:ascii="黑体" w:eastAsia="黑体" w:hAnsi="黑体" w:cs="Arial" w:hint="eastAsia"/>
          <w:color w:val="000000"/>
          <w:sz w:val="32"/>
          <w:szCs w:val="32"/>
        </w:rPr>
        <w:t>，助力共富共享共治</w:t>
      </w:r>
    </w:p>
    <w:p w:rsidR="00253C9C" w:rsidRDefault="0064359F" w:rsidP="0064359F">
      <w:pPr>
        <w:spacing w:line="560" w:lineRule="exact"/>
        <w:ind w:firstLineChars="200" w:firstLine="640"/>
        <w:rPr>
          <w:rFonts w:ascii="仿宋_GB2312" w:eastAsia="仿宋_GB2312" w:hAnsi="Arial" w:cs="Arial"/>
          <w:color w:val="000000"/>
          <w:sz w:val="32"/>
          <w:szCs w:val="32"/>
        </w:rPr>
      </w:pPr>
      <w:r>
        <w:rPr>
          <w:rFonts w:ascii="楷体_GB2312" w:eastAsia="楷体_GB2312" w:hAnsi="Arial" w:cs="Arial" w:hint="eastAsia"/>
          <w:color w:val="000000"/>
          <w:sz w:val="32"/>
          <w:szCs w:val="32"/>
        </w:rPr>
        <w:t>（一）</w:t>
      </w:r>
      <w:r w:rsidRPr="0064359F">
        <w:rPr>
          <w:rFonts w:ascii="楷体_GB2312" w:eastAsia="楷体_GB2312" w:hAnsi="Arial" w:cs="Arial" w:hint="eastAsia"/>
          <w:color w:val="000000"/>
          <w:sz w:val="32"/>
          <w:szCs w:val="32"/>
        </w:rPr>
        <w:t>共建强村大美格局。</w:t>
      </w:r>
      <w:r w:rsidRPr="009F4474">
        <w:rPr>
          <w:rFonts w:ascii="仿宋_GB2312" w:eastAsia="仿宋_GB2312" w:hAnsi="Arial" w:cs="Arial" w:hint="eastAsia"/>
          <w:color w:val="000000"/>
          <w:sz w:val="32"/>
          <w:szCs w:val="32"/>
        </w:rPr>
        <w:t>对接“乡村振兴先行村”“一村一幅画”全域大美格局建设等重点工作，积极参与村级集体经济“强村计划”，单列1亿元信贷资金用于发展壮大各类村级集体经济。加大集体经营性项目信贷投放力度，对年经营性收入在50万元以下的村特别是相对薄弱村实施政策倾斜，开通绿色通道，简化办贷流程，精准支持村集体经济组织降低综合融资成本。截至12月末，已发放村集体贷款1090万元。</w:t>
      </w:r>
    </w:p>
    <w:p w:rsidR="00253C9C" w:rsidRDefault="00253C9C" w:rsidP="00253C9C">
      <w:pPr>
        <w:spacing w:line="560" w:lineRule="exact"/>
        <w:ind w:firstLineChars="200" w:firstLine="640"/>
        <w:rPr>
          <w:rFonts w:ascii="仿宋_GB2312" w:eastAsia="仿宋_GB2312" w:hAnsi="Arial" w:cs="Arial"/>
          <w:color w:val="000000"/>
          <w:sz w:val="32"/>
          <w:szCs w:val="32"/>
        </w:rPr>
      </w:pPr>
      <w:r w:rsidRPr="00253C9C">
        <w:rPr>
          <w:rFonts w:ascii="楷体_GB2312" w:eastAsia="楷体_GB2312" w:hAnsi="Arial" w:cs="Arial" w:hint="eastAsia"/>
          <w:color w:val="000000"/>
          <w:sz w:val="32"/>
          <w:szCs w:val="32"/>
        </w:rPr>
        <w:t>（二）</w:t>
      </w:r>
      <w:r w:rsidR="0064359F" w:rsidRPr="00253C9C">
        <w:rPr>
          <w:rFonts w:ascii="楷体_GB2312" w:eastAsia="楷体_GB2312" w:hAnsi="Arial" w:cs="Arial" w:hint="eastAsia"/>
          <w:color w:val="000000"/>
          <w:sz w:val="32"/>
          <w:szCs w:val="32"/>
        </w:rPr>
        <w:t>推进乡村产业振兴。</w:t>
      </w:r>
      <w:r w:rsidR="0064359F" w:rsidRPr="009F4474">
        <w:rPr>
          <w:rFonts w:ascii="仿宋_GB2312" w:eastAsia="仿宋_GB2312" w:hAnsi="Arial" w:cs="Arial" w:hint="eastAsia"/>
          <w:color w:val="000000"/>
          <w:sz w:val="32"/>
          <w:szCs w:val="32"/>
        </w:rPr>
        <w:t>单列10亿元信贷资源，加大对“双强”企业的信贷支持。全面深化“三位一体”合作，向各产业农合联组织授信31亿元。大力推广“农合通贷”，利用农合通平台，将信用嵌入生产、供销等环节，实现产供销及金融支持的紧密结合。支持农合联成员10</w:t>
      </w:r>
      <w:r w:rsidR="0064359F" w:rsidRPr="009F4474">
        <w:rPr>
          <w:rFonts w:ascii="仿宋_GB2312" w:eastAsia="仿宋_GB2312" w:hAnsi="Arial" w:cs="Arial"/>
          <w:color w:val="000000"/>
          <w:sz w:val="32"/>
          <w:szCs w:val="32"/>
        </w:rPr>
        <w:t>2</w:t>
      </w:r>
      <w:r w:rsidR="0064359F" w:rsidRPr="009F4474">
        <w:rPr>
          <w:rFonts w:ascii="仿宋_GB2312" w:eastAsia="仿宋_GB2312" w:hAnsi="Arial" w:cs="Arial" w:hint="eastAsia"/>
          <w:color w:val="000000"/>
          <w:sz w:val="32"/>
          <w:szCs w:val="32"/>
        </w:rPr>
        <w:t>户，发放贷款8087.6万元。推进农创客培育工程，联合农业农村局打</w:t>
      </w:r>
      <w:r w:rsidR="0064359F" w:rsidRPr="009F4474">
        <w:rPr>
          <w:rFonts w:ascii="仿宋_GB2312" w:eastAsia="仿宋_GB2312" w:hAnsi="Arial" w:cs="Arial" w:hint="eastAsia"/>
          <w:color w:val="000000"/>
          <w:sz w:val="32"/>
          <w:szCs w:val="32"/>
        </w:rPr>
        <w:lastRenderedPageBreak/>
        <w:t>造“1+3”金融服务机制，累计发放“农创贷”710万元。推出“劳模贷”信贷产品，发放“劳模贷”</w:t>
      </w:r>
      <w:r w:rsidR="0064359F" w:rsidRPr="009F4474">
        <w:rPr>
          <w:rFonts w:ascii="仿宋_GB2312" w:eastAsia="仿宋_GB2312" w:hAnsi="Arial" w:cs="Arial"/>
          <w:color w:val="000000"/>
          <w:sz w:val="32"/>
          <w:szCs w:val="32"/>
        </w:rPr>
        <w:t>20</w:t>
      </w:r>
      <w:r w:rsidR="0064359F" w:rsidRPr="009F4474">
        <w:rPr>
          <w:rFonts w:ascii="仿宋_GB2312" w:eastAsia="仿宋_GB2312" w:hAnsi="Arial" w:cs="Arial" w:hint="eastAsia"/>
          <w:color w:val="000000"/>
          <w:sz w:val="32"/>
          <w:szCs w:val="32"/>
        </w:rPr>
        <w:t>户，贷款金额957.20万元。</w:t>
      </w:r>
    </w:p>
    <w:p w:rsidR="0064359F" w:rsidRDefault="00253C9C" w:rsidP="00253C9C">
      <w:pPr>
        <w:spacing w:line="560" w:lineRule="exact"/>
        <w:ind w:firstLineChars="200" w:firstLine="640"/>
        <w:rPr>
          <w:rFonts w:ascii="仿宋_GB2312" w:eastAsia="仿宋_GB2312" w:hAnsi="Arial" w:cs="Arial"/>
          <w:color w:val="000000"/>
          <w:sz w:val="32"/>
          <w:szCs w:val="32"/>
        </w:rPr>
      </w:pPr>
      <w:r w:rsidRPr="00253C9C">
        <w:rPr>
          <w:rFonts w:ascii="楷体_GB2312" w:eastAsia="楷体_GB2312" w:hAnsi="Arial" w:cs="Arial" w:hint="eastAsia"/>
          <w:color w:val="000000"/>
          <w:sz w:val="32"/>
          <w:szCs w:val="32"/>
        </w:rPr>
        <w:t>（三）</w:t>
      </w:r>
      <w:r w:rsidR="0064359F" w:rsidRPr="00253C9C">
        <w:rPr>
          <w:rFonts w:ascii="楷体_GB2312" w:eastAsia="楷体_GB2312" w:hAnsi="Arial" w:cs="Arial" w:hint="eastAsia"/>
          <w:color w:val="000000"/>
          <w:sz w:val="32"/>
          <w:szCs w:val="32"/>
        </w:rPr>
        <w:t>助力农民增收增利。</w:t>
      </w:r>
      <w:r w:rsidR="0064359F" w:rsidRPr="009F4474">
        <w:rPr>
          <w:rFonts w:ascii="仿宋_GB2312" w:eastAsia="仿宋_GB2312" w:hAnsi="Arial" w:cs="Arial" w:hint="eastAsia"/>
          <w:color w:val="000000"/>
          <w:sz w:val="32"/>
          <w:szCs w:val="32"/>
        </w:rPr>
        <w:t>探索农村产权融资模式创新，推广开展农房财产权（含宅基地使用权）抵押贷款，发放绍兴首笔农民住房财产权抵押贷款50万元。持续深化农户小额普惠贷款工作，将农户信用授信结果转化为实实在在的金融支持，着力提升农户用信转化率和平均用信额度。截至12月末，农户小额普惠贷款6541户，金额20.18亿元。</w:t>
      </w:r>
    </w:p>
    <w:p w:rsidR="0064359F" w:rsidRPr="00253C9C" w:rsidRDefault="00253C9C" w:rsidP="0064359F">
      <w:pPr>
        <w:spacing w:line="560" w:lineRule="exact"/>
        <w:ind w:firstLineChars="200" w:firstLine="640"/>
        <w:rPr>
          <w:rFonts w:ascii="黑体" w:eastAsia="黑体" w:hAnsi="黑体" w:cs="Arial"/>
          <w:color w:val="000000"/>
          <w:sz w:val="32"/>
          <w:szCs w:val="32"/>
        </w:rPr>
      </w:pPr>
      <w:r w:rsidRPr="00253C9C">
        <w:rPr>
          <w:rFonts w:ascii="黑体" w:eastAsia="黑体" w:hAnsi="黑体" w:cs="Arial"/>
          <w:color w:val="000000"/>
          <w:sz w:val="32"/>
          <w:szCs w:val="32"/>
        </w:rPr>
        <w:t>三、强化机制建设，提升法人治理</w:t>
      </w:r>
      <w:r w:rsidRPr="00253C9C">
        <w:rPr>
          <w:rFonts w:ascii="黑体" w:eastAsia="黑体" w:hAnsi="黑体" w:cs="Arial" w:hint="eastAsia"/>
          <w:color w:val="000000"/>
          <w:sz w:val="32"/>
          <w:szCs w:val="32"/>
        </w:rPr>
        <w:t>效</w:t>
      </w:r>
      <w:r w:rsidRPr="00253C9C">
        <w:rPr>
          <w:rFonts w:ascii="黑体" w:eastAsia="黑体" w:hAnsi="黑体" w:cs="Arial"/>
          <w:color w:val="000000"/>
          <w:sz w:val="32"/>
          <w:szCs w:val="32"/>
        </w:rPr>
        <w:t>能</w:t>
      </w:r>
    </w:p>
    <w:p w:rsidR="00253C9C" w:rsidRPr="009F4474" w:rsidRDefault="00253C9C" w:rsidP="00253C9C">
      <w:pPr>
        <w:overflowPunct w:val="0"/>
        <w:autoSpaceDE w:val="0"/>
        <w:autoSpaceDN w:val="0"/>
        <w:spacing w:line="560" w:lineRule="exact"/>
        <w:ind w:firstLine="630"/>
        <w:rPr>
          <w:rFonts w:ascii="楷体_GB2312" w:eastAsia="楷体_GB2312" w:hAnsi="仿宋"/>
          <w:sz w:val="32"/>
          <w:szCs w:val="32"/>
        </w:rPr>
      </w:pPr>
      <w:r w:rsidRPr="009F4474">
        <w:rPr>
          <w:rFonts w:ascii="楷体_GB2312" w:eastAsia="楷体_GB2312" w:hAnsi="仿宋" w:hint="eastAsia"/>
          <w:sz w:val="32"/>
          <w:szCs w:val="32"/>
        </w:rPr>
        <w:t>（一）</w:t>
      </w:r>
      <w:r>
        <w:rPr>
          <w:rFonts w:ascii="楷体_GB2312" w:eastAsia="楷体_GB2312" w:hAnsi="仿宋" w:hint="eastAsia"/>
          <w:sz w:val="32"/>
          <w:szCs w:val="32"/>
        </w:rPr>
        <w:t>强化</w:t>
      </w:r>
      <w:r w:rsidRPr="009F4474">
        <w:rPr>
          <w:rFonts w:ascii="楷体_GB2312" w:eastAsia="楷体_GB2312" w:hAnsi="仿宋" w:hint="eastAsia"/>
          <w:sz w:val="32"/>
          <w:szCs w:val="32"/>
        </w:rPr>
        <w:t>规范履职，持续提升公司治理水平。</w:t>
      </w:r>
    </w:p>
    <w:p w:rsidR="00253C9C" w:rsidRPr="009F4474" w:rsidRDefault="00253C9C" w:rsidP="00253C9C">
      <w:pPr>
        <w:overflowPunct w:val="0"/>
        <w:autoSpaceDE w:val="0"/>
        <w:autoSpaceDN w:val="0"/>
        <w:spacing w:line="560" w:lineRule="exact"/>
        <w:ind w:firstLine="630"/>
        <w:rPr>
          <w:rFonts w:ascii="仿宋_GB2312" w:eastAsia="仿宋_GB2312" w:hAnsi="仿宋"/>
          <w:sz w:val="32"/>
          <w:szCs w:val="32"/>
        </w:rPr>
      </w:pPr>
      <w:r w:rsidRPr="009F4474">
        <w:rPr>
          <w:rFonts w:ascii="仿宋_GB2312" w:eastAsia="仿宋_GB2312" w:hAnsi="仿宋" w:hint="eastAsia"/>
          <w:b/>
          <w:sz w:val="32"/>
          <w:szCs w:val="32"/>
        </w:rPr>
        <w:t>1.强化履职支撑。</w:t>
      </w:r>
      <w:r w:rsidRPr="009F4474">
        <w:rPr>
          <w:rFonts w:ascii="仿宋_GB2312" w:eastAsia="仿宋_GB2312" w:hAnsi="仿宋" w:hint="eastAsia"/>
          <w:sz w:val="32"/>
          <w:szCs w:val="32"/>
        </w:rPr>
        <w:t>组织召开</w:t>
      </w:r>
      <w:r>
        <w:rPr>
          <w:rFonts w:ascii="仿宋_GB2312" w:eastAsia="仿宋_GB2312" w:hAnsi="仿宋" w:hint="eastAsia"/>
          <w:sz w:val="32"/>
          <w:szCs w:val="32"/>
        </w:rPr>
        <w:t>2021</w:t>
      </w:r>
      <w:r w:rsidRPr="009F4474">
        <w:rPr>
          <w:rFonts w:ascii="仿宋_GB2312" w:eastAsia="仿宋_GB2312" w:hAnsi="仿宋" w:hint="eastAsia"/>
          <w:sz w:val="32"/>
          <w:szCs w:val="32"/>
        </w:rPr>
        <w:t>年度股东大会，审议通过董事会工作报告、监事会工作报告、2020年度财务决算报告及利润分配方案、2021年度财务收支预算报告、“十四五”发展规划和二</w:t>
      </w:r>
      <w:r w:rsidRPr="009F4474">
        <w:rPr>
          <w:rFonts w:ascii="宋体" w:hAnsi="宋体" w:cs="宋体" w:hint="eastAsia"/>
          <w:sz w:val="32"/>
          <w:szCs w:val="32"/>
        </w:rPr>
        <w:t>〇</w:t>
      </w:r>
      <w:r w:rsidRPr="009F4474">
        <w:rPr>
          <w:rFonts w:ascii="仿宋_GB2312" w:eastAsia="仿宋_GB2312" w:hAnsi="仿宋" w:hint="eastAsia"/>
          <w:sz w:val="32"/>
          <w:szCs w:val="32"/>
        </w:rPr>
        <w:t>三五年远景目标等5项议案，通报了两会一层成员履职评价结果，听取了2020年度三农金融业务开展情况报告</w:t>
      </w:r>
      <w:r>
        <w:rPr>
          <w:rFonts w:ascii="仿宋_GB2312" w:eastAsia="仿宋_GB2312" w:hAnsi="仿宋" w:hint="eastAsia"/>
          <w:sz w:val="32"/>
          <w:szCs w:val="32"/>
        </w:rPr>
        <w:t>；召开2022年第一次临时股东大会，</w:t>
      </w:r>
      <w:r w:rsidRPr="00553ED4">
        <w:rPr>
          <w:rFonts w:ascii="仿宋_GB2312" w:eastAsia="仿宋_GB2312" w:hAnsi="仿宋" w:hint="eastAsia"/>
          <w:sz w:val="32"/>
          <w:szCs w:val="32"/>
        </w:rPr>
        <w:t>审议通过恒信农商银行增资扩股方案、净资产确认报告等8</w:t>
      </w:r>
      <w:r>
        <w:rPr>
          <w:rFonts w:ascii="仿宋_GB2312" w:eastAsia="仿宋_GB2312" w:hAnsi="仿宋" w:hint="eastAsia"/>
          <w:sz w:val="32"/>
          <w:szCs w:val="32"/>
        </w:rPr>
        <w:t>项议案</w:t>
      </w:r>
      <w:r w:rsidRPr="009F4474">
        <w:rPr>
          <w:rFonts w:ascii="仿宋_GB2312" w:eastAsia="仿宋_GB2312" w:hAnsi="仿宋" w:hint="eastAsia"/>
          <w:sz w:val="32"/>
          <w:szCs w:val="32"/>
        </w:rPr>
        <w:t>。组织召开董事会4次，对年度经营计划、信息披露报告、内部审计工作报告、关联交易情况专项报告、内部资本充足程序评估报告、风险限额评估调整报告等事项进行审议，共形成决议</w:t>
      </w:r>
      <w:r>
        <w:rPr>
          <w:rFonts w:ascii="仿宋_GB2312" w:eastAsia="仿宋_GB2312" w:hAnsi="仿宋" w:hint="eastAsia"/>
          <w:sz w:val="32"/>
          <w:szCs w:val="32"/>
        </w:rPr>
        <w:t>23</w:t>
      </w:r>
      <w:r w:rsidRPr="009F4474">
        <w:rPr>
          <w:rFonts w:ascii="仿宋_GB2312" w:eastAsia="仿宋_GB2312" w:hAnsi="仿宋" w:hint="eastAsia"/>
          <w:sz w:val="32"/>
          <w:szCs w:val="32"/>
        </w:rPr>
        <w:t>项。</w:t>
      </w:r>
    </w:p>
    <w:p w:rsidR="00253C9C" w:rsidRPr="009F4474" w:rsidRDefault="00253C9C" w:rsidP="00253C9C">
      <w:pPr>
        <w:overflowPunct w:val="0"/>
        <w:autoSpaceDE w:val="0"/>
        <w:autoSpaceDN w:val="0"/>
        <w:spacing w:line="560" w:lineRule="exact"/>
        <w:ind w:firstLine="630"/>
        <w:rPr>
          <w:rFonts w:ascii="仿宋_GB2312" w:eastAsia="仿宋_GB2312" w:hAnsi="仿宋"/>
          <w:sz w:val="32"/>
          <w:szCs w:val="32"/>
        </w:rPr>
      </w:pPr>
      <w:r w:rsidRPr="009F4474">
        <w:rPr>
          <w:rFonts w:ascii="仿宋_GB2312" w:eastAsia="仿宋_GB2312" w:hAnsi="仿宋" w:hint="eastAsia"/>
          <w:b/>
          <w:sz w:val="32"/>
          <w:szCs w:val="32"/>
        </w:rPr>
        <w:t>2.</w:t>
      </w:r>
      <w:r w:rsidRPr="009F4474">
        <w:rPr>
          <w:rFonts w:ascii="仿宋_GB2312" w:eastAsia="仿宋_GB2312" w:hAnsi="仿宋" w:hint="eastAsia"/>
          <w:b/>
          <w:bCs/>
          <w:sz w:val="32"/>
          <w:szCs w:val="32"/>
        </w:rPr>
        <w:t>推进规范运作。</w:t>
      </w:r>
      <w:r w:rsidRPr="009F4474">
        <w:rPr>
          <w:rFonts w:ascii="仿宋_GB2312" w:eastAsia="仿宋_GB2312" w:hAnsi="仿宋" w:hint="eastAsia"/>
          <w:bCs/>
          <w:sz w:val="32"/>
          <w:szCs w:val="32"/>
        </w:rPr>
        <w:t>董事会坚持将党委研究讨论作为重大问题、重大经营管理事项决策的前置程序，把加强党的领导</w:t>
      </w:r>
      <w:r w:rsidRPr="009F4474">
        <w:rPr>
          <w:rFonts w:ascii="仿宋_GB2312" w:eastAsia="仿宋_GB2312" w:hAnsi="仿宋" w:hint="eastAsia"/>
          <w:bCs/>
          <w:sz w:val="32"/>
          <w:szCs w:val="32"/>
        </w:rPr>
        <w:lastRenderedPageBreak/>
        <w:t>和完善公司治理有机融合，切实发挥党委领导核心和政治核心作用。</w:t>
      </w:r>
      <w:r w:rsidRPr="00F51CC7">
        <w:rPr>
          <w:rFonts w:ascii="仿宋_GB2312" w:eastAsia="仿宋_GB2312" w:hAnsi="仿宋" w:hint="eastAsia"/>
          <w:bCs/>
          <w:sz w:val="32"/>
          <w:szCs w:val="32"/>
        </w:rPr>
        <w:t>加强公司治理主体履职管理，制定《董事、监事履职薪酬方案》，对</w:t>
      </w:r>
      <w:r w:rsidRPr="00F51CC7">
        <w:rPr>
          <w:rFonts w:ascii="仿宋_GB2312" w:eastAsia="仿宋_GB2312" w:hAnsi="仿宋"/>
          <w:bCs/>
          <w:sz w:val="32"/>
          <w:szCs w:val="32"/>
        </w:rPr>
        <w:t>董事、监事津贴标准以制度形式明确</w:t>
      </w:r>
      <w:r w:rsidRPr="00F51CC7">
        <w:rPr>
          <w:rFonts w:ascii="仿宋_GB2312" w:eastAsia="仿宋_GB2312" w:hAnsi="仿宋" w:hint="eastAsia"/>
          <w:bCs/>
          <w:sz w:val="32"/>
          <w:szCs w:val="32"/>
        </w:rPr>
        <w:t>。修订《</w:t>
      </w:r>
      <w:r w:rsidRPr="00F51CC7">
        <w:rPr>
          <w:rFonts w:ascii="仿宋_GB2312" w:eastAsia="仿宋_GB2312" w:hAnsi="仿宋"/>
          <w:bCs/>
          <w:sz w:val="32"/>
          <w:szCs w:val="32"/>
        </w:rPr>
        <w:t>“</w:t>
      </w:r>
      <w:r w:rsidRPr="00F51CC7">
        <w:rPr>
          <w:rFonts w:ascii="仿宋_GB2312" w:eastAsia="仿宋_GB2312" w:hAnsi="仿宋"/>
          <w:bCs/>
          <w:sz w:val="32"/>
          <w:szCs w:val="32"/>
        </w:rPr>
        <w:t>两会一层</w:t>
      </w:r>
      <w:r w:rsidRPr="00F51CC7">
        <w:rPr>
          <w:rFonts w:ascii="仿宋_GB2312" w:eastAsia="仿宋_GB2312" w:hAnsi="仿宋"/>
          <w:bCs/>
          <w:sz w:val="32"/>
          <w:szCs w:val="32"/>
        </w:rPr>
        <w:t>”</w:t>
      </w:r>
      <w:r w:rsidRPr="00F51CC7">
        <w:rPr>
          <w:rFonts w:ascii="仿宋_GB2312" w:eastAsia="仿宋_GB2312" w:hAnsi="仿宋"/>
          <w:bCs/>
          <w:sz w:val="32"/>
          <w:szCs w:val="32"/>
        </w:rPr>
        <w:t>成员履职评价办法</w:t>
      </w:r>
      <w:r w:rsidRPr="00F51CC7">
        <w:rPr>
          <w:rFonts w:ascii="仿宋_GB2312" w:eastAsia="仿宋_GB2312" w:hAnsi="仿宋" w:hint="eastAsia"/>
          <w:bCs/>
          <w:sz w:val="32"/>
          <w:szCs w:val="32"/>
        </w:rPr>
        <w:t>》，规范开展公司治理主体履职考评。</w:t>
      </w:r>
      <w:r w:rsidRPr="009F4474">
        <w:rPr>
          <w:rFonts w:ascii="仿宋_GB2312" w:eastAsia="仿宋_GB2312" w:hAnsi="仿宋" w:hint="eastAsia"/>
          <w:bCs/>
          <w:sz w:val="32"/>
          <w:szCs w:val="32"/>
        </w:rPr>
        <w:t>加强董事会下设专门委员会规范运作，落实履职行为监督管理，提高制度执行力。认真履行信息披露义务，正确处理好股东、国家和员工三者之间的利益关系，切实维护存款人和股东的合法权益。</w:t>
      </w:r>
    </w:p>
    <w:p w:rsidR="00253C9C" w:rsidRPr="00F51CC7" w:rsidRDefault="00253C9C" w:rsidP="00253C9C">
      <w:pPr>
        <w:spacing w:line="560" w:lineRule="exact"/>
        <w:ind w:firstLineChars="200" w:firstLine="643"/>
        <w:rPr>
          <w:rFonts w:ascii="仿宋_GB2312" w:eastAsia="仿宋_GB2312" w:hAnsi="仿宋"/>
          <w:bCs/>
          <w:sz w:val="32"/>
          <w:szCs w:val="32"/>
        </w:rPr>
      </w:pPr>
      <w:r w:rsidRPr="009F4474">
        <w:rPr>
          <w:rFonts w:ascii="仿宋_GB2312" w:eastAsia="仿宋_GB2312" w:hAnsi="仿宋" w:hint="eastAsia"/>
          <w:b/>
          <w:sz w:val="32"/>
          <w:szCs w:val="32"/>
        </w:rPr>
        <w:t>3.加强</w:t>
      </w:r>
      <w:r>
        <w:rPr>
          <w:rFonts w:ascii="仿宋_GB2312" w:eastAsia="仿宋_GB2312" w:hAnsi="仿宋" w:hint="eastAsia"/>
          <w:b/>
          <w:sz w:val="32"/>
          <w:szCs w:val="32"/>
        </w:rPr>
        <w:t>排查整治</w:t>
      </w:r>
      <w:r w:rsidRPr="009F4474">
        <w:rPr>
          <w:rFonts w:ascii="仿宋_GB2312" w:eastAsia="仿宋_GB2312" w:hAnsi="仿宋" w:hint="eastAsia"/>
          <w:b/>
          <w:sz w:val="32"/>
          <w:szCs w:val="32"/>
        </w:rPr>
        <w:t>。</w:t>
      </w:r>
      <w:r w:rsidRPr="00F51CC7">
        <w:rPr>
          <w:rFonts w:ascii="仿宋_GB2312" w:eastAsia="仿宋_GB2312" w:hAnsi="仿宋" w:hint="eastAsia"/>
          <w:bCs/>
          <w:sz w:val="32"/>
          <w:szCs w:val="32"/>
        </w:rPr>
        <w:t>组织开展股权相关问题专项治理排查，通过天眼查客户端对主要股东基本信息、经营状态、缴纳社保人数及自身风险、周边风险等情况进行了逐一排查，对存在疑点的问题进行逐项核实，累计排查数据400余项。组织开展近三年公司治理问题及整改情况梳理，做好相关问题查漏补缺。专题推进股权和关联交易数据治理排查整改，严格数据报送及质量控制。</w:t>
      </w:r>
    </w:p>
    <w:p w:rsidR="00253C9C" w:rsidRDefault="00253C9C" w:rsidP="00253C9C">
      <w:pPr>
        <w:spacing w:line="560" w:lineRule="exact"/>
        <w:ind w:firstLineChars="200" w:firstLine="643"/>
        <w:rPr>
          <w:rFonts w:ascii="仿宋_GB2312" w:eastAsia="仿宋_GB2312" w:hAnsi="仿宋"/>
          <w:sz w:val="32"/>
          <w:szCs w:val="32"/>
        </w:rPr>
      </w:pPr>
      <w:r w:rsidRPr="009F4474">
        <w:rPr>
          <w:rFonts w:ascii="仿宋_GB2312" w:eastAsia="仿宋_GB2312" w:hAnsi="仿宋" w:hint="eastAsia"/>
          <w:b/>
          <w:sz w:val="32"/>
          <w:szCs w:val="32"/>
        </w:rPr>
        <w:t>4.</w:t>
      </w:r>
      <w:r w:rsidRPr="009F4474">
        <w:rPr>
          <w:rFonts w:ascii="仿宋_GB2312" w:eastAsia="仿宋_GB2312" w:hAnsi="仿宋" w:hint="eastAsia"/>
          <w:b/>
          <w:bCs/>
          <w:sz w:val="32"/>
          <w:szCs w:val="32"/>
        </w:rPr>
        <w:t>自觉接受监督。</w:t>
      </w:r>
      <w:r w:rsidRPr="009F4474">
        <w:rPr>
          <w:rFonts w:ascii="仿宋_GB2312" w:eastAsia="仿宋_GB2312" w:hAnsi="仿宋" w:hint="eastAsia"/>
          <w:sz w:val="32"/>
          <w:szCs w:val="32"/>
        </w:rPr>
        <w:t>根据《章程》要求，董事会根据需要邀请监事列席会议，由监事会监督董事会对全行性经营管理的重大决策；对监事会提出的意见和建议，董事会都能给予重视，仔细研究，合理吸收，及时改进并明确答复。董事会、监事会能紧紧围绕发展目标，密切配合，较好地发挥各自职能，有力地促进了我行稳健发展。</w:t>
      </w:r>
    </w:p>
    <w:p w:rsidR="00253C9C" w:rsidRDefault="00253C9C" w:rsidP="00253C9C">
      <w:pPr>
        <w:spacing w:line="560" w:lineRule="exact"/>
        <w:ind w:firstLineChars="200" w:firstLine="640"/>
        <w:rPr>
          <w:rFonts w:ascii="仿宋_GB2312" w:eastAsia="仿宋_GB2312" w:hAnsi="Arial" w:cs="Arial"/>
          <w:color w:val="000000"/>
          <w:sz w:val="32"/>
          <w:szCs w:val="32"/>
        </w:rPr>
      </w:pPr>
      <w:r w:rsidRPr="009F4474">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二</w:t>
      </w:r>
      <w:r w:rsidRPr="009F4474">
        <w:rPr>
          <w:rFonts w:ascii="楷体_GB2312" w:eastAsia="楷体_GB2312" w:hAnsi="楷体_GB2312" w:cs="楷体_GB2312" w:hint="eastAsia"/>
          <w:color w:val="000000"/>
          <w:sz w:val="32"/>
          <w:szCs w:val="32"/>
        </w:rPr>
        <w:t>）坚持稳健经营，多举措夯实可持续发展根基。</w:t>
      </w:r>
      <w:r w:rsidRPr="009F4474">
        <w:rPr>
          <w:rFonts w:ascii="仿宋_GB2312" w:eastAsia="仿宋_GB2312" w:hAnsi="Arial" w:cs="Arial" w:hint="eastAsia"/>
          <w:color w:val="000000"/>
          <w:sz w:val="32"/>
          <w:szCs w:val="32"/>
        </w:rPr>
        <w:t>常态化开展</w:t>
      </w:r>
      <w:r w:rsidRPr="009F4474">
        <w:rPr>
          <w:rFonts w:ascii="仿宋_GB2312" w:eastAsia="仿宋_GB2312" w:hAnsi="Arial" w:cs="Arial" w:hint="eastAsia"/>
          <w:bCs/>
          <w:color w:val="000000"/>
          <w:sz w:val="32"/>
          <w:szCs w:val="32"/>
        </w:rPr>
        <w:t>案件风险专项排查，</w:t>
      </w:r>
      <w:r w:rsidRPr="009F4474">
        <w:rPr>
          <w:rFonts w:ascii="仿宋_GB2312" w:eastAsia="仿宋_GB2312" w:hAnsi="Arial" w:cs="Arial" w:hint="eastAsia"/>
          <w:color w:val="000000"/>
          <w:sz w:val="32"/>
          <w:szCs w:val="32"/>
        </w:rPr>
        <w:t>持续加强财务会计、信贷业务等条线的日常规范化操作督导，先后组织开展大额现金、理</w:t>
      </w:r>
      <w:r w:rsidRPr="009F4474">
        <w:rPr>
          <w:rFonts w:ascii="仿宋_GB2312" w:eastAsia="仿宋_GB2312" w:hAnsi="Arial" w:cs="Arial" w:hint="eastAsia"/>
          <w:color w:val="000000"/>
          <w:sz w:val="32"/>
          <w:szCs w:val="32"/>
        </w:rPr>
        <w:lastRenderedPageBreak/>
        <w:t>财业务销售、数字贷款业务等专项检查，强化全流程合规风险防控。累计开展各类内部检查45次，下发运营检辅通报50份。</w:t>
      </w:r>
      <w:r w:rsidRPr="009F4474">
        <w:rPr>
          <w:rFonts w:ascii="仿宋_GB2312" w:eastAsia="仿宋_GB2312" w:hAnsi="Arial" w:cs="Arial" w:hint="eastAsia"/>
          <w:b/>
          <w:color w:val="000000"/>
          <w:sz w:val="32"/>
          <w:szCs w:val="32"/>
        </w:rPr>
        <w:t>加大问责处理力度。</w:t>
      </w:r>
      <w:r w:rsidRPr="009F4474">
        <w:rPr>
          <w:rFonts w:ascii="仿宋_GB2312" w:eastAsia="仿宋_GB2312" w:hAnsi="Arial" w:cs="Arial" w:hint="eastAsia"/>
          <w:color w:val="000000"/>
          <w:sz w:val="32"/>
          <w:szCs w:val="32"/>
        </w:rPr>
        <w:t>对行内屡查屡犯、屡纠屡错的风险隐患和违规行为，强化责任追究，</w:t>
      </w:r>
      <w:r w:rsidRPr="009F4474">
        <w:rPr>
          <w:rFonts w:ascii="仿宋_GB2312" w:eastAsia="仿宋_GB2312" w:hAnsi="Calibri" w:cs="仿宋_GB2312" w:hint="eastAsia"/>
          <w:color w:val="000000"/>
          <w:sz w:val="32"/>
          <w:szCs w:val="32"/>
        </w:rPr>
        <w:t>累计问责涉及纪律处分13人次，其中：行政警告6人次，记过2人次，记大过3人次，降级1人，撤职1人；累计经济处罚</w:t>
      </w:r>
      <w:r w:rsidRPr="009F4474">
        <w:rPr>
          <w:rFonts w:ascii="仿宋_GB2312" w:eastAsia="仿宋_GB2312" w:hAnsi="Calibri" w:cs="仿宋_GB2312"/>
          <w:color w:val="000000"/>
          <w:sz w:val="32"/>
          <w:szCs w:val="32"/>
        </w:rPr>
        <w:t>445</w:t>
      </w:r>
      <w:r w:rsidRPr="009F4474">
        <w:rPr>
          <w:rFonts w:ascii="仿宋_GB2312" w:eastAsia="仿宋_GB2312" w:hAnsi="Calibri" w:cs="仿宋_GB2312" w:hint="eastAsia"/>
          <w:color w:val="000000"/>
          <w:sz w:val="32"/>
          <w:szCs w:val="32"/>
        </w:rPr>
        <w:t>人次，处罚金额</w:t>
      </w:r>
      <w:r w:rsidRPr="009F4474">
        <w:rPr>
          <w:rFonts w:ascii="仿宋_GB2312" w:eastAsia="仿宋_GB2312" w:hAnsi="Calibri" w:cs="仿宋_GB2312"/>
          <w:color w:val="000000"/>
          <w:sz w:val="32"/>
          <w:szCs w:val="32"/>
        </w:rPr>
        <w:t>20.93</w:t>
      </w:r>
      <w:r w:rsidRPr="009F4474">
        <w:rPr>
          <w:rFonts w:ascii="仿宋_GB2312" w:eastAsia="仿宋_GB2312" w:hAnsi="Calibri" w:cs="仿宋_GB2312" w:hint="eastAsia"/>
          <w:color w:val="000000"/>
          <w:sz w:val="32"/>
          <w:szCs w:val="32"/>
        </w:rPr>
        <w:t>万元。</w:t>
      </w:r>
      <w:r w:rsidRPr="009F4474">
        <w:rPr>
          <w:rFonts w:ascii="仿宋_GB2312" w:eastAsia="仿宋_GB2312" w:hAnsi="Arial" w:cs="Arial" w:hint="eastAsia"/>
          <w:color w:val="000000"/>
          <w:sz w:val="32"/>
          <w:szCs w:val="32"/>
        </w:rPr>
        <w:t>落实违规积分管理与绩效薪酬挂钩，累计对</w:t>
      </w:r>
      <w:r w:rsidRPr="009F4474">
        <w:rPr>
          <w:rFonts w:ascii="仿宋_GB2312" w:eastAsia="仿宋_GB2312" w:hAnsi="Arial" w:cs="Arial"/>
          <w:color w:val="000000"/>
          <w:sz w:val="32"/>
          <w:szCs w:val="32"/>
        </w:rPr>
        <w:t>210</w:t>
      </w:r>
      <w:r w:rsidRPr="009F4474">
        <w:rPr>
          <w:rFonts w:ascii="仿宋_GB2312" w:eastAsia="仿宋_GB2312" w:hAnsi="Arial" w:cs="Arial" w:hint="eastAsia"/>
          <w:color w:val="000000"/>
          <w:sz w:val="32"/>
          <w:szCs w:val="32"/>
        </w:rPr>
        <w:t>人次进行违规积分共计</w:t>
      </w:r>
      <w:r w:rsidRPr="009F4474">
        <w:rPr>
          <w:rFonts w:ascii="仿宋_GB2312" w:eastAsia="仿宋_GB2312" w:hAnsi="Arial" w:cs="Arial"/>
          <w:color w:val="000000"/>
          <w:sz w:val="32"/>
          <w:szCs w:val="32"/>
        </w:rPr>
        <w:t>499</w:t>
      </w:r>
      <w:r w:rsidRPr="009F4474">
        <w:rPr>
          <w:rFonts w:ascii="仿宋_GB2312" w:eastAsia="仿宋_GB2312" w:hAnsi="Arial" w:cs="Arial" w:hint="eastAsia"/>
          <w:color w:val="000000"/>
          <w:sz w:val="32"/>
          <w:szCs w:val="32"/>
        </w:rPr>
        <w:t>分。</w:t>
      </w:r>
      <w:r w:rsidRPr="009F4474">
        <w:rPr>
          <w:rFonts w:ascii="仿宋_GB2312" w:eastAsia="仿宋_GB2312" w:hAnsi="Arial" w:cs="Arial" w:hint="eastAsia"/>
          <w:b/>
          <w:color w:val="000000"/>
          <w:sz w:val="32"/>
          <w:szCs w:val="32"/>
        </w:rPr>
        <w:t>提升合规经营水平。</w:t>
      </w:r>
      <w:r w:rsidRPr="009F4474">
        <w:rPr>
          <w:rFonts w:ascii="仿宋_GB2312" w:eastAsia="仿宋_GB2312" w:hAnsi="Arial" w:cs="Arial" w:hint="eastAsia"/>
          <w:color w:val="000000"/>
          <w:sz w:val="32"/>
          <w:szCs w:val="32"/>
        </w:rPr>
        <w:t>组织开展“越合规越清廉”合规清廉文化深化行动、案件风险防控“巩固深化年”等活动，系统提升内控合规管理水平。强化反洗钱履职，推进洗钱风险现场评估工作，全面提升强化银行账户风险防控，深入推进打击治理电信网络诈骗工作，守护老百姓钱袋子。</w:t>
      </w:r>
    </w:p>
    <w:p w:rsidR="005F6AA7" w:rsidRDefault="00253C9C" w:rsidP="00253C9C">
      <w:pPr>
        <w:spacing w:line="560" w:lineRule="exact"/>
        <w:ind w:firstLineChars="200" w:firstLine="640"/>
        <w:rPr>
          <w:rFonts w:ascii="黑体" w:eastAsia="黑体" w:hAnsi="黑体"/>
          <w:sz w:val="32"/>
          <w:szCs w:val="32"/>
        </w:rPr>
      </w:pPr>
      <w:r w:rsidRPr="005F6AA7">
        <w:rPr>
          <w:rFonts w:ascii="黑体" w:eastAsia="黑体" w:hAnsi="黑体" w:cs="Arial" w:hint="eastAsia"/>
          <w:color w:val="000000"/>
          <w:sz w:val="32"/>
          <w:szCs w:val="32"/>
        </w:rPr>
        <w:t>四、</w:t>
      </w:r>
      <w:r w:rsidR="005F6AA7" w:rsidRPr="00543FBF">
        <w:rPr>
          <w:rFonts w:ascii="黑体" w:eastAsia="黑体" w:hAnsi="黑体" w:hint="eastAsia"/>
          <w:sz w:val="32"/>
          <w:szCs w:val="32"/>
        </w:rPr>
        <w:t>竭诚服务群众，履职尽责彰显担当</w:t>
      </w:r>
    </w:p>
    <w:p w:rsidR="00093CA7" w:rsidRDefault="005F6AA7" w:rsidP="00093CA7">
      <w:pPr>
        <w:spacing w:line="560" w:lineRule="exact"/>
        <w:ind w:firstLineChars="200" w:firstLine="640"/>
        <w:rPr>
          <w:rFonts w:ascii="仿宋_GB2312" w:eastAsia="仿宋_GB2312" w:hAnsi="Arial" w:cs="Arial"/>
          <w:color w:val="000000"/>
          <w:sz w:val="32"/>
          <w:szCs w:val="32"/>
        </w:rPr>
      </w:pPr>
      <w:r w:rsidRPr="005F6AA7">
        <w:rPr>
          <w:rFonts w:ascii="楷体_GB2312" w:eastAsia="楷体_GB2312" w:hint="eastAsia"/>
          <w:sz w:val="32"/>
          <w:szCs w:val="32"/>
        </w:rPr>
        <w:t>（一）</w:t>
      </w:r>
      <w:r w:rsidRPr="005F6AA7">
        <w:rPr>
          <w:rFonts w:ascii="楷体_GB2312" w:eastAsia="楷体_GB2312" w:hint="eastAsia"/>
          <w:bCs/>
          <w:sz w:val="32"/>
          <w:szCs w:val="32"/>
        </w:rPr>
        <w:t>加大关爱力度</w:t>
      </w:r>
      <w:r>
        <w:rPr>
          <w:rFonts w:ascii="楷体_GB2312" w:eastAsia="楷体_GB2312" w:hint="eastAsia"/>
          <w:bCs/>
          <w:sz w:val="32"/>
          <w:szCs w:val="32"/>
        </w:rPr>
        <w:t>，构建和谐劳动关系</w:t>
      </w:r>
      <w:r w:rsidRPr="005F6AA7">
        <w:rPr>
          <w:rFonts w:ascii="楷体_GB2312" w:eastAsia="楷体_GB2312" w:hint="eastAsia"/>
          <w:bCs/>
          <w:sz w:val="32"/>
          <w:szCs w:val="32"/>
        </w:rPr>
        <w:t>。</w:t>
      </w:r>
      <w:r w:rsidRPr="0026539C">
        <w:rPr>
          <w:rFonts w:ascii="仿宋_GB2312" w:eastAsia="仿宋_GB2312" w:hint="eastAsia"/>
          <w:bCs/>
          <w:sz w:val="32"/>
          <w:szCs w:val="32"/>
        </w:rPr>
        <w:t>一是常态化</w:t>
      </w:r>
      <w:r>
        <w:rPr>
          <w:rFonts w:ascii="仿宋_GB2312" w:eastAsia="仿宋_GB2312" w:hint="eastAsia"/>
          <w:bCs/>
          <w:sz w:val="32"/>
          <w:szCs w:val="32"/>
        </w:rPr>
        <w:t>落实职工基本保障。认真做好职工体检和女职工妇检对接组织工作，</w:t>
      </w:r>
      <w:r w:rsidRPr="006F775B">
        <w:rPr>
          <w:rFonts w:ascii="仿宋_GB2312" w:eastAsia="仿宋_GB2312" w:hAnsi="Calibri" w:cs="Times New Roman" w:hint="eastAsia"/>
          <w:bCs/>
          <w:sz w:val="32"/>
          <w:szCs w:val="32"/>
        </w:rPr>
        <w:t>优化提升员工体检方案与项目，</w:t>
      </w:r>
      <w:r>
        <w:rPr>
          <w:rFonts w:ascii="仿宋_GB2312" w:eastAsia="仿宋_GB2312" w:hint="eastAsia"/>
          <w:bCs/>
          <w:sz w:val="32"/>
          <w:szCs w:val="32"/>
        </w:rPr>
        <w:t>推进</w:t>
      </w:r>
      <w:r w:rsidRPr="0026539C">
        <w:rPr>
          <w:rFonts w:ascii="仿宋_GB2312" w:eastAsia="仿宋_GB2312" w:hint="eastAsia"/>
          <w:bCs/>
          <w:sz w:val="32"/>
          <w:szCs w:val="32"/>
        </w:rPr>
        <w:t>全行</w:t>
      </w:r>
      <w:r>
        <w:rPr>
          <w:rFonts w:ascii="仿宋_GB2312" w:eastAsia="仿宋_GB2312" w:hint="eastAsia"/>
          <w:bCs/>
          <w:sz w:val="32"/>
          <w:szCs w:val="32"/>
        </w:rPr>
        <w:t>职工互助医疗保险参保工作，做好</w:t>
      </w:r>
      <w:r w:rsidRPr="0026539C">
        <w:rPr>
          <w:rFonts w:ascii="仿宋_GB2312" w:eastAsia="仿宋_GB2312" w:hint="eastAsia"/>
          <w:bCs/>
          <w:sz w:val="32"/>
          <w:szCs w:val="32"/>
        </w:rPr>
        <w:t>全行职工医药费补助核算及申报。二是有序做好困难职工慰问帮扶工作。加强职工情况摸排，建好行内困难职工工作台账，实现动态管理，落实重要节假日走访慰问工作。组织开展生病住院职工、生育女职工工会慰问，保</w:t>
      </w:r>
      <w:r>
        <w:rPr>
          <w:rFonts w:ascii="仿宋_GB2312" w:eastAsia="仿宋_GB2312" w:hint="eastAsia"/>
          <w:bCs/>
          <w:sz w:val="32"/>
          <w:szCs w:val="32"/>
        </w:rPr>
        <w:t>证</w:t>
      </w:r>
      <w:r w:rsidRPr="0026539C">
        <w:rPr>
          <w:rFonts w:ascii="仿宋_GB2312" w:eastAsia="仿宋_GB2312" w:hint="eastAsia"/>
          <w:bCs/>
          <w:sz w:val="32"/>
          <w:szCs w:val="32"/>
        </w:rPr>
        <w:t>生育假期间相关待遇。三是加强员工关怀关爱。做好重大节日福利和员工生日礼品采购发放，实施员工婚丧祝贺和慰问，做好退休员工关心关爱，落实退休</w:t>
      </w:r>
      <w:r>
        <w:rPr>
          <w:rFonts w:ascii="仿宋_GB2312" w:eastAsia="仿宋_GB2312" w:hint="eastAsia"/>
          <w:bCs/>
          <w:sz w:val="32"/>
          <w:szCs w:val="32"/>
        </w:rPr>
        <w:t>人员</w:t>
      </w:r>
      <w:r w:rsidRPr="0026539C">
        <w:rPr>
          <w:rFonts w:ascii="仿宋_GB2312" w:eastAsia="仿宋_GB2312" w:hint="eastAsia"/>
          <w:bCs/>
          <w:sz w:val="32"/>
          <w:szCs w:val="32"/>
        </w:rPr>
        <w:t>纪念品</w:t>
      </w:r>
      <w:r>
        <w:rPr>
          <w:rFonts w:ascii="仿宋_GB2312" w:eastAsia="仿宋_GB2312" w:hint="eastAsia"/>
          <w:bCs/>
          <w:sz w:val="32"/>
          <w:szCs w:val="32"/>
        </w:rPr>
        <w:t>、</w:t>
      </w:r>
      <w:r w:rsidRPr="0026539C">
        <w:rPr>
          <w:rFonts w:ascii="仿宋_GB2312" w:eastAsia="仿宋_GB2312" w:hint="eastAsia"/>
          <w:bCs/>
          <w:sz w:val="32"/>
          <w:szCs w:val="32"/>
        </w:rPr>
        <w:lastRenderedPageBreak/>
        <w:t>《健康报》</w:t>
      </w:r>
      <w:r>
        <w:rPr>
          <w:rFonts w:ascii="仿宋_GB2312" w:eastAsia="仿宋_GB2312" w:hint="eastAsia"/>
          <w:bCs/>
          <w:sz w:val="32"/>
          <w:szCs w:val="32"/>
        </w:rPr>
        <w:t>等福利发放</w:t>
      </w:r>
      <w:r w:rsidRPr="0026539C">
        <w:rPr>
          <w:rFonts w:ascii="仿宋_GB2312" w:eastAsia="仿宋_GB2312" w:hint="eastAsia"/>
          <w:bCs/>
          <w:sz w:val="32"/>
          <w:szCs w:val="32"/>
        </w:rPr>
        <w:t>。</w:t>
      </w:r>
      <w:r w:rsidR="00093CA7" w:rsidRPr="00093CA7">
        <w:rPr>
          <w:rFonts w:ascii="仿宋_GB2312" w:eastAsia="仿宋_GB2312" w:hint="eastAsia"/>
          <w:bCs/>
          <w:sz w:val="32"/>
          <w:szCs w:val="32"/>
        </w:rPr>
        <w:t>四</w:t>
      </w:r>
      <w:r w:rsidR="00093CA7" w:rsidRPr="00093CA7">
        <w:rPr>
          <w:rFonts w:ascii="仿宋_GB2312" w:eastAsia="仿宋_GB2312" w:hAnsi="Arial" w:cs="Arial" w:hint="eastAsia"/>
          <w:color w:val="000000"/>
          <w:sz w:val="32"/>
          <w:szCs w:val="32"/>
        </w:rPr>
        <w:t>进一步优化干部队伍建设。</w:t>
      </w:r>
      <w:r w:rsidR="00093CA7" w:rsidRPr="00A266B6">
        <w:rPr>
          <w:rFonts w:ascii="仿宋_GB2312" w:eastAsia="仿宋_GB2312" w:hAnsi="Arial" w:cs="Arial" w:hint="eastAsia"/>
          <w:color w:val="000000"/>
          <w:sz w:val="32"/>
          <w:szCs w:val="32"/>
        </w:rPr>
        <w:t>坚持正确的选人用人导向，将合适的人放到合适的岗位，为群众认可度高、政治素质好、工作能力强、敢于担当作为、工作实绩突出的干部员工搭建平台。</w:t>
      </w:r>
      <w:r w:rsidR="00093CA7" w:rsidRPr="00AA5BFB">
        <w:rPr>
          <w:rFonts w:ascii="仿宋_GB2312" w:eastAsia="仿宋_GB2312" w:hAnsi="Arial" w:cs="Arial" w:hint="eastAsia"/>
          <w:color w:val="000000"/>
          <w:sz w:val="32"/>
          <w:szCs w:val="32"/>
        </w:rPr>
        <w:t>累计提拔中层正职4人、副职（主持工作）3人、副职3人、中层助理3人、分理处主任级干部7人，分理处副主任级干部2人，干部交流4人，降级1人，撤职1人。</w:t>
      </w:r>
      <w:r w:rsidR="00093CA7" w:rsidRPr="00A266B6">
        <w:rPr>
          <w:rFonts w:ascii="仿宋_GB2312" w:eastAsia="仿宋_GB2312" w:hAnsi="Arial" w:cs="Arial" w:hint="eastAsia"/>
          <w:color w:val="000000"/>
          <w:sz w:val="32"/>
          <w:szCs w:val="32"/>
        </w:rPr>
        <w:t>强化员工能力建设，实施师徒制，加快青年员工培养速度。推进教育培训项目化管理，累计组织开展教育培训</w:t>
      </w:r>
      <w:r w:rsidR="00093CA7" w:rsidRPr="00A266B6">
        <w:rPr>
          <w:rFonts w:ascii="仿宋_GB2312" w:eastAsia="仿宋_GB2312" w:hAnsi="Arial" w:cs="Arial"/>
          <w:color w:val="000000"/>
          <w:sz w:val="32"/>
          <w:szCs w:val="32"/>
        </w:rPr>
        <w:t>55</w:t>
      </w:r>
      <w:r w:rsidR="00093CA7" w:rsidRPr="00A266B6">
        <w:rPr>
          <w:rFonts w:ascii="仿宋_GB2312" w:eastAsia="仿宋_GB2312" w:hAnsi="Arial" w:cs="Arial" w:hint="eastAsia"/>
          <w:color w:val="000000"/>
          <w:sz w:val="32"/>
          <w:szCs w:val="32"/>
        </w:rPr>
        <w:t>期，参加人员达</w:t>
      </w:r>
      <w:r w:rsidR="00093CA7" w:rsidRPr="00A266B6">
        <w:rPr>
          <w:rFonts w:ascii="仿宋_GB2312" w:eastAsia="仿宋_GB2312" w:hAnsi="仿宋" w:cs="Times New Roman"/>
          <w:color w:val="000000"/>
          <w:sz w:val="32"/>
          <w:szCs w:val="32"/>
        </w:rPr>
        <w:t>7866</w:t>
      </w:r>
      <w:r w:rsidR="00093CA7" w:rsidRPr="00A266B6">
        <w:rPr>
          <w:rFonts w:ascii="仿宋_GB2312" w:eastAsia="仿宋_GB2312" w:hAnsi="Arial" w:cs="Arial" w:hint="eastAsia"/>
          <w:color w:val="000000"/>
          <w:sz w:val="32"/>
          <w:szCs w:val="32"/>
        </w:rPr>
        <w:t>人次。</w:t>
      </w:r>
    </w:p>
    <w:p w:rsidR="005F6AA7" w:rsidRDefault="005F6AA7" w:rsidP="005F6AA7">
      <w:pPr>
        <w:spacing w:line="560" w:lineRule="exact"/>
        <w:ind w:firstLineChars="200" w:firstLine="640"/>
        <w:rPr>
          <w:rFonts w:ascii="仿宋_GB2312" w:eastAsia="仿宋_GB2312" w:hAnsi="Arial" w:cs="Arial"/>
          <w:color w:val="000000"/>
          <w:sz w:val="32"/>
          <w:szCs w:val="32"/>
        </w:rPr>
      </w:pPr>
      <w:r w:rsidRPr="005F6AA7">
        <w:rPr>
          <w:rFonts w:ascii="楷体_GB2312" w:eastAsia="楷体_GB2312" w:hAnsi="Arial" w:cs="Arial" w:hint="eastAsia"/>
          <w:color w:val="000000"/>
          <w:sz w:val="32"/>
          <w:szCs w:val="32"/>
        </w:rPr>
        <w:t>（</w:t>
      </w:r>
      <w:r>
        <w:rPr>
          <w:rFonts w:ascii="楷体_GB2312" w:eastAsia="楷体_GB2312" w:hAnsi="Arial" w:cs="Arial" w:hint="eastAsia"/>
          <w:color w:val="000000"/>
          <w:sz w:val="32"/>
          <w:szCs w:val="32"/>
        </w:rPr>
        <w:t>二</w:t>
      </w:r>
      <w:r w:rsidRPr="005F6AA7">
        <w:rPr>
          <w:rFonts w:ascii="楷体_GB2312" w:eastAsia="楷体_GB2312" w:hAnsi="Arial" w:cs="Arial" w:hint="eastAsia"/>
          <w:color w:val="000000"/>
          <w:sz w:val="32"/>
          <w:szCs w:val="32"/>
        </w:rPr>
        <w:t>）强化责任落实，提升消保工作质效。</w:t>
      </w:r>
      <w:r w:rsidRPr="009F4474">
        <w:rPr>
          <w:rFonts w:ascii="仿宋_GB2312" w:eastAsia="仿宋_GB2312" w:hAnsi="Arial" w:cs="Arial" w:hint="eastAsia"/>
          <w:color w:val="000000"/>
          <w:sz w:val="32"/>
          <w:szCs w:val="32"/>
        </w:rPr>
        <w:t>召开消保工作专题会议，系统部署全年消保工作，明确投诉压降目标。组织支行负责人签订《消费者工单处理工作责任状》，以“三级管理，基层为基础”为要求全面落实消保工作网格责任。</w:t>
      </w:r>
      <w:r w:rsidRPr="005F6AA7">
        <w:rPr>
          <w:rFonts w:ascii="仿宋_GB2312" w:eastAsia="仿宋_GB2312" w:hAnsi="Arial" w:cs="Arial" w:hint="eastAsia"/>
          <w:b/>
          <w:color w:val="000000"/>
          <w:sz w:val="32"/>
          <w:szCs w:val="32"/>
        </w:rPr>
        <w:t>一是</w:t>
      </w:r>
      <w:r w:rsidRPr="009F4474">
        <w:rPr>
          <w:rFonts w:ascii="仿宋_GB2312" w:eastAsia="仿宋_GB2312" w:hAnsi="Arial" w:cs="Arial" w:hint="eastAsia"/>
          <w:b/>
          <w:color w:val="000000"/>
          <w:sz w:val="32"/>
          <w:szCs w:val="32"/>
        </w:rPr>
        <w:t>健全制度体系。</w:t>
      </w:r>
      <w:r w:rsidRPr="009F4474">
        <w:rPr>
          <w:rFonts w:ascii="仿宋_GB2312" w:eastAsia="仿宋_GB2312" w:hAnsi="Arial" w:cs="Arial" w:hint="eastAsia"/>
          <w:color w:val="000000"/>
          <w:sz w:val="32"/>
          <w:szCs w:val="32"/>
        </w:rPr>
        <w:t>出台《消费者工单管理考核办法》，综合考虑业务合规性、客户满意度、投诉处理及时率与合格率等指标，进一步完善考核激励机制。细化部门消保工作考核标准，强化专业条线投诉处理职能。完善消保审查、销售管理、信息保护等基础制度，出台《消费者权益保护审查管理办法》《个人金融信息保护管理办法》，建立健全全流程消保制度体系。</w:t>
      </w:r>
      <w:r w:rsidRPr="005F6AA7">
        <w:rPr>
          <w:rFonts w:ascii="仿宋_GB2312" w:eastAsia="仿宋_GB2312" w:hAnsi="Arial" w:cs="Arial" w:hint="eastAsia"/>
          <w:b/>
          <w:color w:val="000000"/>
          <w:sz w:val="32"/>
          <w:szCs w:val="32"/>
        </w:rPr>
        <w:t>二是</w:t>
      </w:r>
      <w:r w:rsidRPr="009F4474">
        <w:rPr>
          <w:rFonts w:ascii="仿宋_GB2312" w:eastAsia="仿宋_GB2312" w:hAnsi="Arial" w:cs="Arial" w:hint="eastAsia"/>
          <w:b/>
          <w:color w:val="000000"/>
          <w:sz w:val="32"/>
          <w:szCs w:val="32"/>
        </w:rPr>
        <w:t>创新工作机制。</w:t>
      </w:r>
      <w:r w:rsidRPr="009F4474">
        <w:rPr>
          <w:rFonts w:ascii="仿宋_GB2312" w:eastAsia="仿宋_GB2312" w:hAnsi="Arial" w:cs="Arial" w:hint="eastAsia"/>
          <w:color w:val="000000"/>
          <w:sz w:val="32"/>
          <w:szCs w:val="32"/>
        </w:rPr>
        <w:t>完善协同配合机制，组建部室消保工作联络员队伍，定期召开消保工作联席会议，推动形成条块结合、齐抓共管、合力攻坚的消保工作格局。落实消保检辅机制，定期开展网点消保工作现场督导检查，并通过曝光典型案例等形式进行通报。</w:t>
      </w:r>
      <w:r w:rsidRPr="005F6AA7">
        <w:rPr>
          <w:rFonts w:ascii="仿宋_GB2312" w:eastAsia="仿宋_GB2312" w:hAnsi="Arial" w:cs="Arial" w:hint="eastAsia"/>
          <w:b/>
          <w:color w:val="000000"/>
          <w:sz w:val="32"/>
          <w:szCs w:val="32"/>
        </w:rPr>
        <w:t>三是落实宣教活动。</w:t>
      </w:r>
      <w:r w:rsidRPr="005F6AA7">
        <w:rPr>
          <w:rFonts w:ascii="仿宋_GB2312" w:eastAsia="仿宋_GB2312" w:hAnsi="Arial" w:cs="Arial" w:hint="eastAsia"/>
          <w:color w:val="000000"/>
          <w:sz w:val="32"/>
          <w:szCs w:val="32"/>
        </w:rPr>
        <w:t>统筹</w:t>
      </w:r>
      <w:r w:rsidRPr="005F6AA7">
        <w:rPr>
          <w:rFonts w:ascii="仿宋_GB2312" w:eastAsia="仿宋_GB2312" w:hAnsi="Arial" w:cs="Arial" w:hint="eastAsia"/>
          <w:color w:val="000000"/>
          <w:sz w:val="32"/>
          <w:szCs w:val="32"/>
        </w:rPr>
        <w:lastRenderedPageBreak/>
        <w:t>规划全年金融知识宣传工作，积极开展各类金融知识普及活动，坚持主题宣传与日常宣传相结合，线下宣教与线上宣教相融合，同时兼顾公益性、实效性、持续性等原则，扎实有效地做好各类宣传教育活动，正确引导金融消费者科学合理使用银行产品和服务，同时加强金融消费者风险意识教育，提升消费者金融风险识别与防范能力。</w:t>
      </w:r>
    </w:p>
    <w:p w:rsidR="005F6AA7" w:rsidRDefault="005F6AA7" w:rsidP="00093CA7">
      <w:pPr>
        <w:autoSpaceDE w:val="0"/>
        <w:autoSpaceDN w:val="0"/>
        <w:adjustRightInd w:val="0"/>
        <w:spacing w:line="560" w:lineRule="exact"/>
        <w:ind w:firstLineChars="200" w:firstLine="640"/>
        <w:rPr>
          <w:rFonts w:ascii="仿宋_GB2312" w:eastAsia="仿宋_GB2312"/>
          <w:bCs/>
          <w:sz w:val="32"/>
          <w:szCs w:val="32"/>
        </w:rPr>
      </w:pPr>
      <w:r w:rsidRPr="005F6AA7">
        <w:rPr>
          <w:rFonts w:ascii="楷体_GB2312" w:eastAsia="楷体_GB2312" w:hAnsi="Arial" w:cs="Arial" w:hint="eastAsia"/>
          <w:color w:val="000000"/>
          <w:sz w:val="32"/>
          <w:szCs w:val="32"/>
        </w:rPr>
        <w:t>（三）投身公益事业，积极履行社会责任。</w:t>
      </w:r>
      <w:r w:rsidRPr="005F6AA7">
        <w:rPr>
          <w:rFonts w:ascii="仿宋_GB2312" w:eastAsia="仿宋_GB2312" w:hint="eastAsia"/>
          <w:bCs/>
          <w:sz w:val="32"/>
          <w:szCs w:val="32"/>
        </w:rPr>
        <w:t>坚持饮水思源，全情全意回馈社会，主动参与抢险救灾、扶残助残等公益活动，</w:t>
      </w:r>
      <w:r w:rsidRPr="005F6AA7">
        <w:rPr>
          <w:rFonts w:ascii="仿宋_GB2312" w:eastAsia="仿宋_GB2312"/>
          <w:bCs/>
          <w:sz w:val="32"/>
          <w:szCs w:val="32"/>
        </w:rPr>
        <w:t>热心支持各项公益事业</w:t>
      </w:r>
      <w:r w:rsidRPr="005F6AA7">
        <w:rPr>
          <w:rFonts w:ascii="仿宋_GB2312" w:eastAsia="仿宋_GB2312" w:hint="eastAsia"/>
          <w:bCs/>
          <w:sz w:val="32"/>
          <w:szCs w:val="32"/>
        </w:rPr>
        <w:t>。积极倡导救危济困、团结互助的良好风尚，定期组织员工开展“慈善一日捐”等爱心捐赠活动，将慈善理念深植企业文化。</w:t>
      </w:r>
      <w:r>
        <w:rPr>
          <w:rFonts w:ascii="仿宋_GB2312" w:eastAsia="仿宋_GB2312" w:hint="eastAsia"/>
          <w:bCs/>
          <w:sz w:val="32"/>
          <w:szCs w:val="32"/>
        </w:rPr>
        <w:t>2022年</w:t>
      </w:r>
      <w:r w:rsidRPr="005F6AA7">
        <w:rPr>
          <w:rFonts w:ascii="仿宋_GB2312" w:eastAsia="仿宋_GB2312" w:hint="eastAsia"/>
          <w:bCs/>
          <w:sz w:val="32"/>
          <w:szCs w:val="32"/>
        </w:rPr>
        <w:t>公益捐款</w:t>
      </w:r>
      <w:r w:rsidR="00093CA7">
        <w:rPr>
          <w:rFonts w:ascii="仿宋_GB2312" w:eastAsia="仿宋_GB2312" w:hint="eastAsia"/>
          <w:bCs/>
          <w:sz w:val="32"/>
          <w:szCs w:val="32"/>
        </w:rPr>
        <w:t>94</w:t>
      </w:r>
      <w:r w:rsidRPr="005F6AA7">
        <w:rPr>
          <w:rFonts w:ascii="仿宋_GB2312" w:eastAsia="仿宋_GB2312" w:hint="eastAsia"/>
          <w:bCs/>
          <w:sz w:val="32"/>
          <w:szCs w:val="32"/>
        </w:rPr>
        <w:t>万元。组织员工编入街道拆迁攻坚小组，协助</w:t>
      </w:r>
      <w:r w:rsidRPr="005F6AA7">
        <w:rPr>
          <w:rFonts w:ascii="仿宋_GB2312" w:eastAsia="仿宋_GB2312"/>
          <w:bCs/>
          <w:sz w:val="32"/>
          <w:szCs w:val="32"/>
        </w:rPr>
        <w:t>9个镇（街）展</w:t>
      </w:r>
      <w:r w:rsidRPr="005F6AA7">
        <w:rPr>
          <w:rFonts w:ascii="仿宋_GB2312" w:eastAsia="仿宋_GB2312" w:hint="eastAsia"/>
          <w:bCs/>
          <w:sz w:val="32"/>
          <w:szCs w:val="32"/>
        </w:rPr>
        <w:t>拆迁</w:t>
      </w:r>
      <w:r w:rsidRPr="005F6AA7">
        <w:rPr>
          <w:rFonts w:ascii="仿宋_GB2312" w:eastAsia="仿宋_GB2312"/>
          <w:bCs/>
          <w:sz w:val="32"/>
          <w:szCs w:val="32"/>
        </w:rPr>
        <w:t>工作，涉及</w:t>
      </w:r>
      <w:r w:rsidRPr="005F6AA7">
        <w:rPr>
          <w:rFonts w:ascii="仿宋_GB2312" w:eastAsia="仿宋_GB2312" w:hint="eastAsia"/>
          <w:bCs/>
          <w:sz w:val="32"/>
          <w:szCs w:val="32"/>
        </w:rPr>
        <w:t>行政村28</w:t>
      </w:r>
      <w:r w:rsidRPr="005F6AA7">
        <w:rPr>
          <w:rFonts w:ascii="仿宋_GB2312" w:eastAsia="仿宋_GB2312"/>
          <w:bCs/>
          <w:sz w:val="32"/>
          <w:szCs w:val="32"/>
        </w:rPr>
        <w:t>个、农户1万</w:t>
      </w:r>
      <w:r w:rsidRPr="005F6AA7">
        <w:rPr>
          <w:rFonts w:ascii="仿宋_GB2312" w:eastAsia="仿宋_GB2312" w:hint="eastAsia"/>
          <w:bCs/>
          <w:sz w:val="32"/>
          <w:szCs w:val="32"/>
        </w:rPr>
        <w:t>余户。联合农业农村部门在全辖推广农户小额普惠贷款产品，每笔授信均由农户所在村集体经济组织公议联评，将个人信用及道德行为与贷款额度、担保方式等直接挂钩，有效引导农户诚实守信、行善积德。已授信农户10.05万户，授信金额203.80亿元。</w:t>
      </w:r>
    </w:p>
    <w:p w:rsidR="00093CA7" w:rsidRPr="00093CA7" w:rsidRDefault="00093CA7" w:rsidP="00093CA7">
      <w:pPr>
        <w:spacing w:line="560" w:lineRule="exact"/>
        <w:ind w:firstLineChars="200" w:firstLine="640"/>
        <w:rPr>
          <w:rFonts w:ascii="黑体" w:eastAsia="黑体" w:hAnsi="黑体"/>
          <w:bCs/>
          <w:sz w:val="32"/>
          <w:szCs w:val="32"/>
        </w:rPr>
      </w:pPr>
      <w:r w:rsidRPr="00093CA7">
        <w:rPr>
          <w:rFonts w:ascii="黑体" w:eastAsia="黑体" w:hAnsi="黑体" w:hint="eastAsia"/>
          <w:bCs/>
          <w:sz w:val="32"/>
          <w:szCs w:val="32"/>
        </w:rPr>
        <w:t>五、注重环境保护，践行绿色发展理念</w:t>
      </w:r>
    </w:p>
    <w:p w:rsidR="005F6AA7" w:rsidRPr="006E7562" w:rsidRDefault="006E7562" w:rsidP="006E7562">
      <w:pPr>
        <w:spacing w:line="560" w:lineRule="exact"/>
        <w:ind w:firstLineChars="200" w:firstLine="640"/>
        <w:rPr>
          <w:rFonts w:ascii="仿宋_GB2312" w:eastAsia="仿宋_GB2312" w:hint="eastAsia"/>
          <w:bCs/>
          <w:sz w:val="32"/>
          <w:szCs w:val="32"/>
        </w:rPr>
      </w:pPr>
      <w:r w:rsidRPr="006E7562">
        <w:rPr>
          <w:rFonts w:ascii="仿宋_GB2312" w:eastAsia="仿宋_GB2312" w:hint="eastAsia"/>
          <w:bCs/>
          <w:sz w:val="32"/>
          <w:szCs w:val="32"/>
        </w:rPr>
        <w:t>2022年，本行认真贯彻落实党中央关于“碳达峰碳中和”重要决策部署，进一步巩固绿色金融发展成果，积极发挥在应对气候变化和绿色低碳发展中的金融保障作用，以实现“30·60”为目标，统筹发展绿色产业，探索建立健全碳达峰碳中和金融服务“八项机制”，即规划统计、产品创新、信贷机制、降碳吸碳、低碳运营、管理考核、信息披露、对</w:t>
      </w:r>
      <w:r w:rsidRPr="006E7562">
        <w:rPr>
          <w:rFonts w:ascii="仿宋_GB2312" w:eastAsia="仿宋_GB2312" w:hint="eastAsia"/>
          <w:bCs/>
          <w:sz w:val="32"/>
          <w:szCs w:val="32"/>
        </w:rPr>
        <w:lastRenderedPageBreak/>
        <w:t>外合作，助力绿色低碳金融服务工作全面开展。按照人总行统计口径，截至2022年12月末，本行绿色信贷余额3.16亿元，占全部贷款比重1.20%。。</w:t>
      </w:r>
    </w:p>
    <w:sectPr w:rsidR="005F6AA7" w:rsidRPr="006E7562" w:rsidSect="00677B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AC1" w:rsidRDefault="00730AC1" w:rsidP="006E7562">
      <w:r>
        <w:separator/>
      </w:r>
    </w:p>
  </w:endnote>
  <w:endnote w:type="continuationSeparator" w:id="1">
    <w:p w:rsidR="00730AC1" w:rsidRDefault="00730AC1" w:rsidP="006E7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AC1" w:rsidRDefault="00730AC1" w:rsidP="006E7562">
      <w:r>
        <w:separator/>
      </w:r>
    </w:p>
  </w:footnote>
  <w:footnote w:type="continuationSeparator" w:id="1">
    <w:p w:rsidR="00730AC1" w:rsidRDefault="00730AC1" w:rsidP="006E75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C4F"/>
    <w:rsid w:val="000012B8"/>
    <w:rsid w:val="00093CA7"/>
    <w:rsid w:val="00133D9C"/>
    <w:rsid w:val="0016699B"/>
    <w:rsid w:val="00253C9C"/>
    <w:rsid w:val="00335E0A"/>
    <w:rsid w:val="00376E7C"/>
    <w:rsid w:val="003F0A05"/>
    <w:rsid w:val="004177D2"/>
    <w:rsid w:val="005758CC"/>
    <w:rsid w:val="005E4F9A"/>
    <w:rsid w:val="005F6AA7"/>
    <w:rsid w:val="0064359F"/>
    <w:rsid w:val="00677B7B"/>
    <w:rsid w:val="006E7562"/>
    <w:rsid w:val="00730AC1"/>
    <w:rsid w:val="007C7CE0"/>
    <w:rsid w:val="007D4766"/>
    <w:rsid w:val="008505B9"/>
    <w:rsid w:val="00856490"/>
    <w:rsid w:val="009E3C4F"/>
    <w:rsid w:val="00AF435D"/>
    <w:rsid w:val="00B119BC"/>
    <w:rsid w:val="00B318FB"/>
    <w:rsid w:val="00B8621C"/>
    <w:rsid w:val="00CF63C0"/>
    <w:rsid w:val="00F14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C4F"/>
    <w:rPr>
      <w:color w:val="0000FF" w:themeColor="hyperlink"/>
      <w:u w:val="single"/>
    </w:rPr>
  </w:style>
  <w:style w:type="paragraph" w:styleId="a4">
    <w:name w:val="Balloon Text"/>
    <w:basedOn w:val="a"/>
    <w:link w:val="Char"/>
    <w:uiPriority w:val="99"/>
    <w:semiHidden/>
    <w:unhideWhenUsed/>
    <w:rsid w:val="005E4F9A"/>
    <w:rPr>
      <w:sz w:val="18"/>
      <w:szCs w:val="18"/>
    </w:rPr>
  </w:style>
  <w:style w:type="character" w:customStyle="1" w:styleId="Char">
    <w:name w:val="批注框文本 Char"/>
    <w:basedOn w:val="a0"/>
    <w:link w:val="a4"/>
    <w:uiPriority w:val="99"/>
    <w:semiHidden/>
    <w:rsid w:val="005E4F9A"/>
    <w:rPr>
      <w:sz w:val="18"/>
      <w:szCs w:val="18"/>
    </w:rPr>
  </w:style>
  <w:style w:type="paragraph" w:styleId="a5">
    <w:name w:val="header"/>
    <w:basedOn w:val="a"/>
    <w:link w:val="Char0"/>
    <w:uiPriority w:val="99"/>
    <w:semiHidden/>
    <w:unhideWhenUsed/>
    <w:rsid w:val="006E75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E7562"/>
    <w:rPr>
      <w:sz w:val="18"/>
      <w:szCs w:val="18"/>
    </w:rPr>
  </w:style>
  <w:style w:type="paragraph" w:styleId="a6">
    <w:name w:val="footer"/>
    <w:basedOn w:val="a"/>
    <w:link w:val="Char1"/>
    <w:uiPriority w:val="99"/>
    <w:semiHidden/>
    <w:unhideWhenUsed/>
    <w:rsid w:val="006E756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E75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xhx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2024-01-25T09:25:00Z</dcterms:created>
  <dcterms:modified xsi:type="dcterms:W3CDTF">2024-01-26T01:11:00Z</dcterms:modified>
</cp:coreProperties>
</file>